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5A8" w:rsidRDefault="007F72FF">
      <w:pPr>
        <w:spacing w:line="560" w:lineRule="exact"/>
        <w:jc w:val="center"/>
        <w:rPr>
          <w:rFonts w:ascii="方正黑体简体" w:eastAsia="方正黑体简体" w:hAnsi="方正黑体简体" w:cs="方正黑体简体"/>
          <w:sz w:val="52"/>
          <w:szCs w:val="52"/>
        </w:rPr>
      </w:pPr>
      <w:r>
        <w:rPr>
          <w:rFonts w:ascii="方正黑体简体" w:eastAsia="方正黑体简体" w:hAnsi="方正黑体简体" w:cs="方正黑体简体" w:hint="eastAsia"/>
          <w:color w:val="000000"/>
          <w:sz w:val="44"/>
          <w:szCs w:val="44"/>
        </w:rPr>
        <w:t>紧密型医联体评估指标表</w:t>
      </w:r>
    </w:p>
    <w:tbl>
      <w:tblPr>
        <w:tblW w:w="13647" w:type="dxa"/>
        <w:tblLayout w:type="fixed"/>
        <w:tblCellMar>
          <w:left w:w="0" w:type="dxa"/>
          <w:right w:w="0" w:type="dxa"/>
        </w:tblCellMar>
        <w:tblLook w:val="04A0"/>
      </w:tblPr>
      <w:tblGrid>
        <w:gridCol w:w="1180"/>
        <w:gridCol w:w="4145"/>
        <w:gridCol w:w="6422"/>
        <w:gridCol w:w="1900"/>
      </w:tblGrid>
      <w:tr w:rsidR="009815A8">
        <w:trPr>
          <w:trHeight w:val="280"/>
        </w:trPr>
        <w:tc>
          <w:tcPr>
            <w:tcW w:w="11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7F72FF">
            <w:pPr>
              <w:widowControl/>
              <w:jc w:val="center"/>
              <w:textAlignment w:val="center"/>
              <w:rPr>
                <w:rFonts w:ascii="Times New Roman" w:eastAsia="方正楷体简体" w:hAnsi="Times New Roman" w:cs="Times New Roman"/>
                <w:color w:val="000000"/>
                <w:sz w:val="40"/>
                <w:szCs w:val="40"/>
              </w:rPr>
            </w:pPr>
            <w:r>
              <w:rPr>
                <w:rFonts w:ascii="Times New Roman" w:eastAsia="方正楷体简体" w:hAnsi="Times New Roman" w:cs="Times New Roman" w:hint="eastAsia"/>
                <w:color w:val="000000"/>
                <w:kern w:val="0"/>
              </w:rPr>
              <w:t>评估指标</w:t>
            </w:r>
          </w:p>
        </w:tc>
        <w:tc>
          <w:tcPr>
            <w:tcW w:w="414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7F72FF">
            <w:pPr>
              <w:widowControl/>
              <w:jc w:val="center"/>
              <w:textAlignment w:val="center"/>
              <w:rPr>
                <w:rFonts w:ascii="Times New Roman" w:eastAsia="方正楷体简体" w:hAnsi="Times New Roman" w:cs="Times New Roman"/>
                <w:color w:val="000000"/>
                <w:sz w:val="40"/>
                <w:szCs w:val="40"/>
              </w:rPr>
            </w:pPr>
            <w:r>
              <w:rPr>
                <w:rFonts w:ascii="Times New Roman" w:eastAsia="方正楷体简体" w:hAnsi="Times New Roman" w:cs="Times New Roman" w:hint="eastAsia"/>
                <w:color w:val="000000"/>
                <w:kern w:val="0"/>
              </w:rPr>
              <w:t>评估内容</w:t>
            </w:r>
          </w:p>
        </w:tc>
        <w:tc>
          <w:tcPr>
            <w:tcW w:w="642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7F72FF">
            <w:pPr>
              <w:widowControl/>
              <w:jc w:val="center"/>
              <w:textAlignment w:val="center"/>
              <w:rPr>
                <w:rFonts w:ascii="Times New Roman" w:eastAsia="方正楷体简体" w:hAnsi="Times New Roman" w:cs="Times New Roman"/>
                <w:color w:val="000000"/>
                <w:sz w:val="40"/>
                <w:szCs w:val="40"/>
              </w:rPr>
            </w:pPr>
            <w:r>
              <w:rPr>
                <w:rFonts w:ascii="Times New Roman" w:eastAsia="方正楷体简体" w:hAnsi="Times New Roman" w:cs="Times New Roman" w:hint="eastAsia"/>
                <w:color w:val="000000"/>
                <w:kern w:val="0"/>
              </w:rPr>
              <w:t>评估要点与办法</w:t>
            </w:r>
          </w:p>
        </w:tc>
        <w:tc>
          <w:tcPr>
            <w:tcW w:w="19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7F72FF">
            <w:pPr>
              <w:widowControl/>
              <w:jc w:val="center"/>
              <w:textAlignment w:val="center"/>
              <w:rPr>
                <w:rFonts w:ascii="Times New Roman" w:eastAsia="方正楷体简体" w:hAnsi="Times New Roman" w:cs="Times New Roman"/>
                <w:color w:val="000000"/>
                <w:sz w:val="40"/>
                <w:szCs w:val="40"/>
              </w:rPr>
            </w:pPr>
            <w:r>
              <w:rPr>
                <w:rFonts w:ascii="Times New Roman" w:eastAsia="方正楷体简体" w:hAnsi="Times New Roman" w:cs="Times New Roman" w:hint="eastAsia"/>
                <w:color w:val="000000"/>
                <w:kern w:val="0"/>
              </w:rPr>
              <w:t>评估单位</w:t>
            </w:r>
          </w:p>
        </w:tc>
      </w:tr>
      <w:tr w:rsidR="009815A8">
        <w:trPr>
          <w:trHeight w:val="401"/>
        </w:trPr>
        <w:tc>
          <w:tcPr>
            <w:tcW w:w="1180"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7F72FF">
            <w:pPr>
              <w:widowControl/>
              <w:spacing w:line="240" w:lineRule="exact"/>
              <w:jc w:val="center"/>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（一）紧密型医联体运行指标（</w:t>
            </w:r>
            <w:r>
              <w:rPr>
                <w:rFonts w:ascii="Times New Roman" w:eastAsia="方正仿宋简体" w:hAnsi="Times New Roman" w:cs="Times New Roman"/>
                <w:color w:val="000000"/>
                <w:kern w:val="0"/>
                <w:sz w:val="18"/>
                <w:szCs w:val="18"/>
              </w:rPr>
              <w:t>20</w:t>
            </w:r>
            <w:r>
              <w:rPr>
                <w:rFonts w:ascii="Times New Roman" w:eastAsia="方正仿宋简体" w:hAnsi="Times New Roman" w:cs="Times New Roman" w:hint="eastAsia"/>
                <w:color w:val="000000"/>
                <w:kern w:val="0"/>
                <w:sz w:val="18"/>
                <w:szCs w:val="18"/>
              </w:rPr>
              <w:t>分）</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医疗费用增长率（</w:t>
            </w:r>
            <w:r>
              <w:rPr>
                <w:rFonts w:ascii="Times New Roman" w:eastAsia="方正仿宋简体" w:hAnsi="Times New Roman" w:cs="Times New Roman"/>
                <w:color w:val="000000"/>
                <w:kern w:val="0"/>
                <w:sz w:val="18"/>
                <w:szCs w:val="18"/>
              </w:rPr>
              <w:t>4</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医联体牵头医院医疗费用增长率</w:t>
            </w:r>
            <w:r>
              <w:rPr>
                <w:rFonts w:ascii="Times New Roman" w:eastAsia="方正仿宋简体" w:hAnsi="Times New Roman" w:cs="Times New Roman"/>
                <w:color w:val="000000"/>
                <w:kern w:val="0"/>
                <w:sz w:val="18"/>
                <w:szCs w:val="18"/>
              </w:rPr>
              <w:t>≤8%</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4</w:t>
            </w:r>
            <w:r>
              <w:rPr>
                <w:rFonts w:ascii="Times New Roman" w:eastAsia="方正仿宋简体" w:hAnsi="Times New Roman" w:cs="Times New Roman" w:hint="eastAsia"/>
                <w:color w:val="000000"/>
                <w:kern w:val="0"/>
                <w:sz w:val="18"/>
                <w:szCs w:val="18"/>
              </w:rPr>
              <w:t>分）</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每增加</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个百分点扣</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区卫健委、区财政局</w:t>
            </w:r>
          </w:p>
        </w:tc>
      </w:tr>
      <w:tr w:rsidR="009815A8">
        <w:trPr>
          <w:trHeight w:val="570"/>
        </w:trPr>
        <w:tc>
          <w:tcPr>
            <w:tcW w:w="118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药占比</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不含中药饮片）；检查、化验占比；耗材占比（</w:t>
            </w:r>
            <w:r>
              <w:rPr>
                <w:rFonts w:ascii="Times New Roman" w:eastAsia="方正仿宋简体" w:hAnsi="Times New Roman" w:cs="Times New Roman"/>
                <w:color w:val="000000"/>
                <w:kern w:val="0"/>
                <w:sz w:val="18"/>
                <w:szCs w:val="18"/>
              </w:rPr>
              <w:t>8</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药占比</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不含中药饮片）：综合医院</w:t>
            </w:r>
            <w:r>
              <w:rPr>
                <w:rFonts w:ascii="Times New Roman" w:eastAsia="方正仿宋简体" w:hAnsi="Times New Roman" w:cs="Times New Roman"/>
                <w:color w:val="000000"/>
                <w:kern w:val="0"/>
                <w:sz w:val="18"/>
                <w:szCs w:val="18"/>
              </w:rPr>
              <w:t>≤30%</w:t>
            </w:r>
            <w:r>
              <w:rPr>
                <w:rFonts w:ascii="Times New Roman" w:eastAsia="方正仿宋简体" w:hAnsi="Times New Roman" w:cs="Times New Roman" w:hint="eastAsia"/>
                <w:color w:val="000000"/>
                <w:kern w:val="0"/>
                <w:sz w:val="18"/>
                <w:szCs w:val="18"/>
              </w:rPr>
              <w:t>，中医医院</w:t>
            </w:r>
            <w:r>
              <w:rPr>
                <w:rFonts w:ascii="Times New Roman" w:eastAsia="方正仿宋简体" w:hAnsi="Times New Roman" w:cs="Times New Roman"/>
                <w:color w:val="000000"/>
                <w:kern w:val="0"/>
                <w:sz w:val="18"/>
                <w:szCs w:val="18"/>
              </w:rPr>
              <w:t>≤38%</w:t>
            </w:r>
            <w:r>
              <w:rPr>
                <w:rFonts w:ascii="Times New Roman" w:eastAsia="方正仿宋简体" w:hAnsi="Times New Roman" w:cs="Times New Roman" w:hint="eastAsia"/>
                <w:color w:val="000000"/>
                <w:kern w:val="0"/>
                <w:sz w:val="18"/>
                <w:szCs w:val="18"/>
              </w:rPr>
              <w:t>，基层医疗机构</w:t>
            </w:r>
            <w:r>
              <w:rPr>
                <w:rFonts w:ascii="Times New Roman" w:eastAsia="方正仿宋简体" w:hAnsi="Times New Roman" w:cs="Times New Roman"/>
                <w:color w:val="000000"/>
                <w:kern w:val="0"/>
                <w:sz w:val="18"/>
                <w:szCs w:val="18"/>
              </w:rPr>
              <w:t>≤55%(4</w:t>
            </w:r>
            <w:r>
              <w:rPr>
                <w:rFonts w:ascii="Times New Roman" w:eastAsia="方正仿宋简体" w:hAnsi="Times New Roman" w:cs="Times New Roman" w:hint="eastAsia"/>
                <w:color w:val="000000"/>
                <w:kern w:val="0"/>
                <w:sz w:val="18"/>
                <w:szCs w:val="18"/>
              </w:rPr>
              <w:t>分</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；检查、化验占比</w:t>
            </w:r>
            <w:r>
              <w:rPr>
                <w:rFonts w:ascii="Times New Roman" w:eastAsia="方正仿宋简体" w:hAnsi="Times New Roman" w:cs="Times New Roman"/>
                <w:color w:val="000000"/>
                <w:kern w:val="0"/>
                <w:sz w:val="18"/>
                <w:szCs w:val="18"/>
              </w:rPr>
              <w:t>≤20%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分）；耗材占比：综合医院</w:t>
            </w:r>
            <w:r>
              <w:rPr>
                <w:rFonts w:ascii="Times New Roman" w:eastAsia="方正仿宋简体" w:hAnsi="Times New Roman" w:cs="Times New Roman"/>
                <w:color w:val="000000"/>
                <w:kern w:val="0"/>
                <w:sz w:val="18"/>
                <w:szCs w:val="18"/>
              </w:rPr>
              <w:t>≤9%</w:t>
            </w:r>
            <w:r>
              <w:rPr>
                <w:rFonts w:ascii="Times New Roman" w:eastAsia="方正仿宋简体" w:hAnsi="Times New Roman" w:cs="Times New Roman" w:hint="eastAsia"/>
                <w:color w:val="000000"/>
                <w:kern w:val="0"/>
                <w:sz w:val="18"/>
                <w:szCs w:val="18"/>
              </w:rPr>
              <w:t>，中医医院</w:t>
            </w:r>
            <w:r>
              <w:rPr>
                <w:rFonts w:ascii="Times New Roman" w:eastAsia="方正仿宋简体" w:hAnsi="Times New Roman" w:cs="Times New Roman"/>
                <w:color w:val="000000"/>
                <w:kern w:val="0"/>
                <w:sz w:val="18"/>
                <w:szCs w:val="18"/>
              </w:rPr>
              <w:t>≤15%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分），基层医疗机构</w:t>
            </w:r>
            <w:r>
              <w:rPr>
                <w:rFonts w:ascii="Times New Roman" w:eastAsia="方正仿宋简体" w:hAnsi="Times New Roman" w:cs="Times New Roman"/>
                <w:color w:val="000000"/>
                <w:kern w:val="0"/>
                <w:sz w:val="18"/>
                <w:szCs w:val="18"/>
              </w:rPr>
              <w:t>≤10%</w:t>
            </w:r>
            <w:r>
              <w:rPr>
                <w:rFonts w:ascii="Times New Roman" w:eastAsia="方正仿宋简体" w:hAnsi="Times New Roman" w:cs="Times New Roman" w:hint="eastAsia"/>
                <w:color w:val="000000"/>
                <w:kern w:val="0"/>
                <w:sz w:val="18"/>
                <w:szCs w:val="18"/>
              </w:rPr>
              <w:t>；每增加</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个百分点扣</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w:t>
            </w:r>
          </w:p>
        </w:tc>
      </w:tr>
      <w:tr w:rsidR="009815A8">
        <w:trPr>
          <w:trHeight w:val="570"/>
        </w:trPr>
        <w:tc>
          <w:tcPr>
            <w:tcW w:w="118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门诊均次费用、住院均次费用增幅（</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医联体牵头医院和基层医疗卫生机构门诊、住院次均费用增长幅度与上年度对比</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以内不扣分（</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分）。查看上年度会计财务报表和上年度数据月报表，高于同期水平此项不得分。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区卫健委、区财政局</w:t>
            </w:r>
          </w:p>
        </w:tc>
      </w:tr>
      <w:tr w:rsidR="009815A8">
        <w:trPr>
          <w:trHeight w:val="570"/>
        </w:trPr>
        <w:tc>
          <w:tcPr>
            <w:tcW w:w="118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医疗服务性收入占比（</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医联体牵头医院医疗服务性收入（不含药品、卫生材料、检查、化验收入）在医院总医疗收入中的占比</w:t>
            </w:r>
            <w:r>
              <w:rPr>
                <w:rFonts w:ascii="Times New Roman" w:eastAsia="方正仿宋简体" w:hAnsi="Times New Roman" w:cs="Times New Roman"/>
                <w:color w:val="000000"/>
                <w:kern w:val="0"/>
                <w:sz w:val="18"/>
                <w:szCs w:val="18"/>
              </w:rPr>
              <w:t>≥20%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分）；每降低</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个百分点扣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w:t>
            </w:r>
          </w:p>
        </w:tc>
      </w:tr>
      <w:tr w:rsidR="009815A8">
        <w:trPr>
          <w:trHeight w:val="644"/>
        </w:trPr>
        <w:tc>
          <w:tcPr>
            <w:tcW w:w="118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公立医院百元医疗收入（不含药品收入）中消耗卫生材料费</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w:t>
            </w:r>
            <w:r>
              <w:rPr>
                <w:rFonts w:ascii="Times New Roman" w:eastAsia="方正仿宋简体" w:hAnsi="Times New Roman" w:cs="Times New Roman"/>
                <w:color w:val="000000"/>
                <w:kern w:val="0"/>
                <w:sz w:val="18"/>
                <w:szCs w:val="18"/>
              </w:rPr>
              <w:t>)</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医联体牵头医院百元医疗收入（不含药品收入）中消耗的卫生材料费下降到</w:t>
            </w:r>
            <w:r>
              <w:rPr>
                <w:rFonts w:ascii="Times New Roman" w:eastAsia="方正仿宋简体" w:hAnsi="Times New Roman" w:cs="Times New Roman"/>
                <w:color w:val="000000"/>
                <w:kern w:val="0"/>
                <w:sz w:val="18"/>
                <w:szCs w:val="18"/>
              </w:rPr>
              <w:t>20</w:t>
            </w:r>
            <w:r>
              <w:rPr>
                <w:rFonts w:ascii="Times New Roman" w:eastAsia="方正仿宋简体" w:hAnsi="Times New Roman" w:cs="Times New Roman" w:hint="eastAsia"/>
                <w:color w:val="000000"/>
                <w:kern w:val="0"/>
                <w:sz w:val="18"/>
                <w:szCs w:val="18"/>
              </w:rPr>
              <w:t>元以下（</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高于</w:t>
            </w:r>
            <w:r>
              <w:rPr>
                <w:rFonts w:ascii="Times New Roman" w:eastAsia="方正仿宋简体" w:hAnsi="Times New Roman" w:cs="Times New Roman"/>
                <w:color w:val="000000"/>
                <w:kern w:val="0"/>
                <w:sz w:val="18"/>
                <w:szCs w:val="18"/>
              </w:rPr>
              <w:t>20</w:t>
            </w:r>
            <w:r>
              <w:rPr>
                <w:rFonts w:ascii="Times New Roman" w:eastAsia="方正仿宋简体" w:hAnsi="Times New Roman" w:cs="Times New Roman" w:hint="eastAsia"/>
                <w:color w:val="000000"/>
                <w:kern w:val="0"/>
                <w:sz w:val="18"/>
                <w:szCs w:val="18"/>
              </w:rPr>
              <w:t>元按比例得分。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w:t>
            </w:r>
          </w:p>
        </w:tc>
      </w:tr>
      <w:tr w:rsidR="009815A8">
        <w:trPr>
          <w:trHeight w:val="380"/>
        </w:trPr>
        <w:tc>
          <w:tcPr>
            <w:tcW w:w="118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人员经费支出占业务支出比例（</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医联体牵头医院人员经费支出占业务支出比例</w:t>
            </w:r>
            <w:r>
              <w:rPr>
                <w:rFonts w:ascii="Times New Roman" w:eastAsia="方正仿宋简体" w:hAnsi="Times New Roman" w:cs="Times New Roman"/>
                <w:color w:val="000000"/>
                <w:kern w:val="0"/>
                <w:sz w:val="18"/>
                <w:szCs w:val="18"/>
              </w:rPr>
              <w:t>≥40%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分），每降低</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个百分点扣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区卫健委、区财政局</w:t>
            </w:r>
          </w:p>
        </w:tc>
      </w:tr>
      <w:tr w:rsidR="009815A8">
        <w:trPr>
          <w:trHeight w:val="481"/>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center"/>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（二）紧密型医联体业务管理（</w:t>
            </w:r>
            <w:r>
              <w:rPr>
                <w:rFonts w:ascii="Times New Roman" w:eastAsia="方正仿宋简体" w:hAnsi="Times New Roman" w:cs="Times New Roman"/>
                <w:color w:val="000000"/>
                <w:kern w:val="0"/>
                <w:sz w:val="18"/>
                <w:szCs w:val="18"/>
              </w:rPr>
              <w:t>60</w:t>
            </w:r>
            <w:r>
              <w:rPr>
                <w:rFonts w:ascii="Times New Roman" w:eastAsia="方正仿宋简体" w:hAnsi="Times New Roman" w:cs="Times New Roman" w:hint="eastAsia"/>
                <w:color w:val="000000"/>
                <w:kern w:val="0"/>
                <w:sz w:val="18"/>
                <w:szCs w:val="18"/>
              </w:rPr>
              <w:t>分）</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临床路径管理（</w:t>
            </w:r>
            <w:r>
              <w:rPr>
                <w:rFonts w:ascii="Times New Roman" w:eastAsia="方正仿宋简体" w:hAnsi="Times New Roman" w:cs="Times New Roman"/>
                <w:color w:val="000000"/>
                <w:kern w:val="0"/>
                <w:sz w:val="18"/>
                <w:szCs w:val="18"/>
              </w:rPr>
              <w:t>3</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年度出院病人临床路径管理比例</w:t>
            </w:r>
            <w:r>
              <w:rPr>
                <w:rFonts w:ascii="Times New Roman" w:eastAsia="方正仿宋简体" w:hAnsi="Times New Roman" w:cs="Times New Roman"/>
                <w:color w:val="000000"/>
                <w:kern w:val="0"/>
                <w:sz w:val="18"/>
                <w:szCs w:val="18"/>
              </w:rPr>
              <w:t>≥45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分）；完成率</w:t>
            </w:r>
            <w:r>
              <w:rPr>
                <w:rFonts w:ascii="Times New Roman" w:eastAsia="方正仿宋简体" w:hAnsi="Times New Roman" w:cs="Times New Roman"/>
                <w:color w:val="000000"/>
                <w:kern w:val="0"/>
                <w:sz w:val="18"/>
                <w:szCs w:val="18"/>
              </w:rPr>
              <w:t>≥60%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分）；每低一个百分点扣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w:t>
            </w:r>
          </w:p>
        </w:tc>
      </w:tr>
      <w:tr w:rsidR="009815A8">
        <w:trPr>
          <w:trHeight w:val="38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按病种付费管理（</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医联体牵头医院职工医保单病种付费出院人次占职工医保出院人次</w:t>
            </w:r>
            <w:r>
              <w:rPr>
                <w:rFonts w:ascii="Times New Roman" w:eastAsia="方正仿宋简体" w:hAnsi="Times New Roman" w:cs="Times New Roman"/>
                <w:color w:val="000000"/>
                <w:kern w:val="0"/>
                <w:sz w:val="18"/>
                <w:szCs w:val="18"/>
              </w:rPr>
              <w:t>≥12</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分）；每低一个百分点扣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center"/>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区卫健委、医保分局</w:t>
            </w:r>
          </w:p>
        </w:tc>
      </w:tr>
      <w:tr w:rsidR="009815A8">
        <w:trPr>
          <w:trHeight w:val="95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抗菌药物使用（</w:t>
            </w:r>
            <w:r>
              <w:rPr>
                <w:rFonts w:ascii="Times New Roman" w:eastAsia="方正仿宋简体" w:hAnsi="Times New Roman" w:cs="Times New Roman"/>
                <w:color w:val="000000"/>
                <w:kern w:val="0"/>
                <w:sz w:val="18"/>
                <w:szCs w:val="18"/>
              </w:rPr>
              <w:t>4</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医联体牵头医院：严格执行卫生部《抗菌药物临床应用管理办法》，门诊患者抗菌药物的处方比例不超过</w:t>
            </w:r>
            <w:r>
              <w:rPr>
                <w:rFonts w:ascii="Times New Roman" w:eastAsia="方正仿宋简体" w:hAnsi="Times New Roman" w:cs="Times New Roman"/>
                <w:color w:val="000000"/>
                <w:kern w:val="0"/>
                <w:sz w:val="18"/>
                <w:szCs w:val="18"/>
              </w:rPr>
              <w:t>20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分）；急诊抗菌药物处方比例不超</w:t>
            </w:r>
            <w:r>
              <w:rPr>
                <w:rFonts w:ascii="Times New Roman" w:eastAsia="方正仿宋简体" w:hAnsi="Times New Roman" w:cs="Times New Roman"/>
                <w:color w:val="000000"/>
                <w:kern w:val="0"/>
                <w:sz w:val="18"/>
                <w:szCs w:val="18"/>
              </w:rPr>
              <w:t>40%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分）；住院患者抗菌药物使用率不超过</w:t>
            </w:r>
            <w:r>
              <w:rPr>
                <w:rFonts w:ascii="Times New Roman" w:eastAsia="方正仿宋简体" w:hAnsi="Times New Roman" w:cs="Times New Roman"/>
                <w:color w:val="000000"/>
                <w:kern w:val="0"/>
                <w:sz w:val="18"/>
                <w:szCs w:val="18"/>
              </w:rPr>
              <w:t>60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分）；抗菌药物使用强度控制在</w:t>
            </w:r>
            <w:r>
              <w:rPr>
                <w:rFonts w:ascii="Times New Roman" w:eastAsia="方正仿宋简体" w:hAnsi="Times New Roman" w:cs="Times New Roman"/>
                <w:color w:val="000000"/>
                <w:kern w:val="0"/>
                <w:sz w:val="18"/>
                <w:szCs w:val="18"/>
              </w:rPr>
              <w:t>40DDDs</w:t>
            </w:r>
            <w:r>
              <w:rPr>
                <w:rFonts w:ascii="Times New Roman" w:eastAsia="方正仿宋简体" w:hAnsi="Times New Roman" w:cs="Times New Roman" w:hint="eastAsia"/>
                <w:color w:val="000000"/>
                <w:kern w:val="0"/>
                <w:sz w:val="18"/>
                <w:szCs w:val="18"/>
              </w:rPr>
              <w:t>以下或逐年下降不低于</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个点（</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分）；查阅相关处方和病历，任何一项超过规定比例此项不得分。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w:t>
            </w:r>
          </w:p>
        </w:tc>
      </w:tr>
      <w:tr w:rsidR="009815A8">
        <w:trPr>
          <w:trHeight w:val="152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医联体内社区卫生服务中心门诊中医处方（包括中药饮片、中成药和中医非药物处方）数占处方总数比例不低于</w:t>
            </w:r>
            <w:r>
              <w:rPr>
                <w:rFonts w:ascii="Times New Roman" w:eastAsia="方正仿宋简体" w:hAnsi="Times New Roman" w:cs="Times New Roman"/>
                <w:color w:val="000000"/>
                <w:kern w:val="0"/>
                <w:sz w:val="18"/>
                <w:szCs w:val="18"/>
              </w:rPr>
              <w:t>30</w:t>
            </w:r>
            <w:r>
              <w:rPr>
                <w:rFonts w:ascii="Times New Roman" w:eastAsia="方正仿宋简体" w:hAnsi="Times New Roman" w:cs="Times New Roman" w:hint="eastAsia"/>
                <w:color w:val="000000"/>
                <w:kern w:val="0"/>
                <w:sz w:val="18"/>
                <w:szCs w:val="18"/>
              </w:rPr>
              <w:t>％。其中，中药饮片处方数占处方总数不低于</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％，中医非药物处方占处方总数不低于</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％。社区卫生服务站中医处方（包括中药饮片、中成药和中医非药物疗法）数占处方总数比例不低于</w:t>
            </w:r>
            <w:r>
              <w:rPr>
                <w:rFonts w:ascii="Times New Roman" w:eastAsia="方正仿宋简体" w:hAnsi="Times New Roman" w:cs="Times New Roman"/>
                <w:color w:val="000000"/>
                <w:kern w:val="0"/>
                <w:sz w:val="18"/>
                <w:szCs w:val="18"/>
              </w:rPr>
              <w:t>30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4</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医联体内社区卫生服务中心门诊中医处方数占门诊总处方数比例低于</w:t>
            </w:r>
            <w:r>
              <w:rPr>
                <w:rFonts w:ascii="Times New Roman" w:eastAsia="方正仿宋简体" w:hAnsi="Times New Roman" w:cs="Times New Roman"/>
                <w:color w:val="000000"/>
                <w:kern w:val="0"/>
                <w:sz w:val="18"/>
                <w:szCs w:val="18"/>
              </w:rPr>
              <w:t>30</w:t>
            </w:r>
            <w:r>
              <w:rPr>
                <w:rFonts w:ascii="Times New Roman" w:eastAsia="方正仿宋简体" w:hAnsi="Times New Roman" w:cs="Times New Roman" w:hint="eastAsia"/>
                <w:color w:val="000000"/>
                <w:kern w:val="0"/>
                <w:sz w:val="18"/>
                <w:szCs w:val="18"/>
              </w:rPr>
              <w:t>％的不得分（</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分）；门诊中药饮片处方数占门诊处方总数低于</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％的不得分（</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分）；门诊中医非药物疗法治疗处方占门诊处方总数低于</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％的不得分（</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分）；社区卫生服务站中医处方数占处方总数比例低于</w:t>
            </w:r>
            <w:r>
              <w:rPr>
                <w:rFonts w:ascii="Times New Roman" w:eastAsia="方正仿宋简体" w:hAnsi="Times New Roman" w:cs="Times New Roman"/>
                <w:color w:val="000000"/>
                <w:kern w:val="0"/>
                <w:sz w:val="18"/>
                <w:szCs w:val="18"/>
              </w:rPr>
              <w:t>30</w:t>
            </w:r>
            <w:r>
              <w:rPr>
                <w:rFonts w:ascii="Times New Roman" w:eastAsia="方正仿宋简体" w:hAnsi="Times New Roman" w:cs="Times New Roman" w:hint="eastAsia"/>
                <w:color w:val="000000"/>
                <w:kern w:val="0"/>
                <w:sz w:val="18"/>
                <w:szCs w:val="18"/>
              </w:rPr>
              <w:t>％的不得分（</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分）。随机抽一个社区卫生服务站或村卫生室查</w:t>
            </w:r>
            <w:r>
              <w:rPr>
                <w:rFonts w:ascii="Times New Roman" w:eastAsia="方正仿宋简体" w:hAnsi="Times New Roman" w:cs="Times New Roman"/>
                <w:color w:val="000000"/>
                <w:kern w:val="0"/>
                <w:sz w:val="18"/>
                <w:szCs w:val="18"/>
              </w:rPr>
              <w:t>100</w:t>
            </w:r>
            <w:r>
              <w:rPr>
                <w:rFonts w:ascii="Times New Roman" w:eastAsia="方正仿宋简体" w:hAnsi="Times New Roman" w:cs="Times New Roman" w:hint="eastAsia"/>
                <w:color w:val="000000"/>
                <w:kern w:val="0"/>
                <w:sz w:val="18"/>
                <w:szCs w:val="18"/>
              </w:rPr>
              <w:t>张门诊处方。</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w:t>
            </w:r>
          </w:p>
        </w:tc>
      </w:tr>
      <w:tr w:rsidR="009815A8">
        <w:trPr>
          <w:trHeight w:val="133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医疗质量（</w:t>
            </w:r>
            <w:r>
              <w:rPr>
                <w:rFonts w:ascii="Times New Roman" w:eastAsia="方正仿宋简体" w:hAnsi="Times New Roman" w:cs="Times New Roman"/>
                <w:color w:val="000000"/>
                <w:kern w:val="0"/>
                <w:sz w:val="18"/>
                <w:szCs w:val="18"/>
              </w:rPr>
              <w:t>10</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医联体牵头医院：甲级病历率</w:t>
            </w:r>
            <w:r>
              <w:rPr>
                <w:rFonts w:ascii="Times New Roman" w:eastAsia="方正仿宋简体" w:hAnsi="Times New Roman" w:cs="Times New Roman"/>
                <w:color w:val="000000"/>
                <w:kern w:val="0"/>
                <w:sz w:val="18"/>
                <w:szCs w:val="18"/>
              </w:rPr>
              <w:t>≥95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分），处方合格率</w:t>
            </w:r>
            <w:r>
              <w:rPr>
                <w:rFonts w:ascii="Times New Roman" w:eastAsia="方正仿宋简体" w:hAnsi="Times New Roman" w:cs="Times New Roman"/>
                <w:color w:val="000000"/>
                <w:kern w:val="0"/>
                <w:sz w:val="18"/>
                <w:szCs w:val="18"/>
              </w:rPr>
              <w:t>≥98</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分），出院诊断符合率</w:t>
            </w:r>
            <w:r>
              <w:rPr>
                <w:rFonts w:ascii="Times New Roman" w:eastAsia="方正仿宋简体" w:hAnsi="Times New Roman" w:cs="Times New Roman"/>
                <w:color w:val="000000"/>
                <w:kern w:val="0"/>
                <w:sz w:val="18"/>
                <w:szCs w:val="18"/>
              </w:rPr>
              <w:t>≥90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分），手术前后诊断符合率</w:t>
            </w:r>
            <w:r>
              <w:rPr>
                <w:rFonts w:ascii="Times New Roman" w:eastAsia="方正仿宋简体" w:hAnsi="Times New Roman" w:cs="Times New Roman"/>
                <w:color w:val="000000"/>
                <w:kern w:val="0"/>
                <w:sz w:val="18"/>
                <w:szCs w:val="18"/>
              </w:rPr>
              <w:t>≥90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分），急危重症抢救成功率</w:t>
            </w:r>
            <w:r>
              <w:rPr>
                <w:rFonts w:ascii="Times New Roman" w:eastAsia="方正仿宋简体" w:hAnsi="Times New Roman" w:cs="Times New Roman"/>
                <w:color w:val="000000"/>
                <w:kern w:val="0"/>
                <w:sz w:val="18"/>
                <w:szCs w:val="18"/>
              </w:rPr>
              <w:t>≥85%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分），三级以上手术占比</w:t>
            </w:r>
            <w:r>
              <w:rPr>
                <w:rFonts w:ascii="Times New Roman" w:eastAsia="方正仿宋简体" w:hAnsi="Times New Roman" w:cs="Times New Roman"/>
                <w:color w:val="000000"/>
                <w:kern w:val="0"/>
                <w:sz w:val="18"/>
                <w:szCs w:val="18"/>
              </w:rPr>
              <w:t>≥40%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分）。入住</w:t>
            </w:r>
            <w:r>
              <w:rPr>
                <w:rFonts w:ascii="Times New Roman" w:eastAsia="方正仿宋简体" w:hAnsi="Times New Roman" w:cs="Times New Roman"/>
                <w:color w:val="000000"/>
                <w:kern w:val="0"/>
                <w:sz w:val="18"/>
                <w:szCs w:val="18"/>
              </w:rPr>
              <w:t>3</w:t>
            </w:r>
            <w:r>
              <w:rPr>
                <w:rFonts w:ascii="Times New Roman" w:eastAsia="方正仿宋简体" w:hAnsi="Times New Roman" w:cs="Times New Roman" w:hint="eastAsia"/>
                <w:color w:val="000000"/>
                <w:kern w:val="0"/>
                <w:sz w:val="18"/>
                <w:szCs w:val="18"/>
              </w:rPr>
              <w:t>日确诊率</w:t>
            </w:r>
            <w:r>
              <w:rPr>
                <w:rFonts w:ascii="Times New Roman" w:eastAsia="方正仿宋简体" w:hAnsi="Times New Roman" w:cs="Times New Roman"/>
                <w:color w:val="000000"/>
                <w:kern w:val="0"/>
                <w:sz w:val="18"/>
                <w:szCs w:val="18"/>
              </w:rPr>
              <w:t>≥90%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分）。医联体基层医疗机构：甲级病历率</w:t>
            </w:r>
            <w:r>
              <w:rPr>
                <w:rFonts w:ascii="Times New Roman" w:eastAsia="方正仿宋简体" w:hAnsi="Times New Roman" w:cs="Times New Roman"/>
                <w:color w:val="000000"/>
                <w:kern w:val="0"/>
                <w:sz w:val="18"/>
                <w:szCs w:val="18"/>
              </w:rPr>
              <w:t>≥95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分），处方合格率</w:t>
            </w:r>
            <w:r>
              <w:rPr>
                <w:rFonts w:ascii="Times New Roman" w:eastAsia="方正仿宋简体" w:hAnsi="Times New Roman" w:cs="Times New Roman"/>
                <w:color w:val="000000"/>
                <w:kern w:val="0"/>
                <w:sz w:val="18"/>
                <w:szCs w:val="18"/>
              </w:rPr>
              <w:t>≥98</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分），入出院诊断符合率</w:t>
            </w:r>
            <w:r>
              <w:rPr>
                <w:rFonts w:ascii="Times New Roman" w:eastAsia="方正仿宋简体" w:hAnsi="Times New Roman" w:cs="Times New Roman"/>
                <w:color w:val="000000"/>
                <w:kern w:val="0"/>
                <w:sz w:val="18"/>
                <w:szCs w:val="18"/>
              </w:rPr>
              <w:t>≥95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分），手术前后诊断符合率</w:t>
            </w:r>
            <w:r>
              <w:rPr>
                <w:rFonts w:ascii="Times New Roman" w:eastAsia="方正仿宋简体" w:hAnsi="Times New Roman" w:cs="Times New Roman"/>
                <w:color w:val="000000"/>
                <w:kern w:val="0"/>
                <w:sz w:val="18"/>
                <w:szCs w:val="18"/>
              </w:rPr>
              <w:t>≥90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分），开展二级以上手术占比</w:t>
            </w:r>
            <w:r>
              <w:rPr>
                <w:rFonts w:ascii="Times New Roman" w:eastAsia="方正仿宋简体" w:hAnsi="Times New Roman" w:cs="Times New Roman"/>
                <w:color w:val="000000"/>
                <w:kern w:val="0"/>
                <w:sz w:val="18"/>
                <w:szCs w:val="18"/>
              </w:rPr>
              <w:t>≥80%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分）。查阅处方和病历等相关资料与上年同期发生数环比，一项达不到扣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w:t>
            </w:r>
          </w:p>
        </w:tc>
      </w:tr>
      <w:tr w:rsidR="009815A8">
        <w:trPr>
          <w:trHeight w:val="1477"/>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执行基本药物、非基本药物零差率销售和集中招标采购制度；优先配备使用国家基本药物，使用《国家基本药物目录（</w:t>
            </w:r>
            <w:r>
              <w:rPr>
                <w:rFonts w:ascii="Times New Roman" w:eastAsia="方正仿宋简体" w:hAnsi="Times New Roman" w:cs="Times New Roman"/>
                <w:color w:val="000000"/>
                <w:kern w:val="0"/>
                <w:sz w:val="18"/>
                <w:szCs w:val="18"/>
              </w:rPr>
              <w:t>2018</w:t>
            </w:r>
            <w:r>
              <w:rPr>
                <w:rFonts w:ascii="Times New Roman" w:eastAsia="方正仿宋简体" w:hAnsi="Times New Roman" w:cs="Times New Roman" w:hint="eastAsia"/>
                <w:color w:val="000000"/>
                <w:kern w:val="0"/>
                <w:sz w:val="18"/>
                <w:szCs w:val="18"/>
              </w:rPr>
              <w:t>版）》内药品采购金额占每年总采购金额比例逐年上升</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直至规定要求</w:t>
            </w:r>
            <w:r>
              <w:rPr>
                <w:rFonts w:ascii="Times New Roman" w:eastAsia="方正仿宋简体" w:hAnsi="Times New Roman" w:cs="Times New Roman"/>
                <w:color w:val="000000"/>
                <w:kern w:val="0"/>
                <w:sz w:val="18"/>
                <w:szCs w:val="18"/>
              </w:rPr>
              <w:t>45%</w:t>
            </w:r>
            <w:r>
              <w:rPr>
                <w:rFonts w:ascii="Times New Roman" w:eastAsia="方正仿宋简体" w:hAnsi="Times New Roman" w:cs="Times New Roman" w:hint="eastAsia"/>
                <w:color w:val="000000"/>
                <w:kern w:val="0"/>
                <w:sz w:val="18"/>
                <w:szCs w:val="18"/>
              </w:rPr>
              <w:t>；国家基本药物使用品种比例应逐年上升</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达到</w:t>
            </w:r>
            <w:r>
              <w:rPr>
                <w:rFonts w:ascii="Times New Roman" w:eastAsia="方正仿宋简体" w:hAnsi="Times New Roman" w:cs="Times New Roman"/>
                <w:color w:val="000000"/>
                <w:kern w:val="0"/>
                <w:sz w:val="18"/>
                <w:szCs w:val="18"/>
              </w:rPr>
              <w:t>45%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4</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使用《国家基本药物目录（</w:t>
            </w:r>
            <w:r>
              <w:rPr>
                <w:rFonts w:ascii="Times New Roman" w:eastAsia="方正仿宋简体" w:hAnsi="Times New Roman" w:cs="Times New Roman"/>
                <w:color w:val="000000"/>
                <w:kern w:val="0"/>
                <w:sz w:val="18"/>
                <w:szCs w:val="18"/>
              </w:rPr>
              <w:t>2018</w:t>
            </w:r>
            <w:r>
              <w:rPr>
                <w:rFonts w:ascii="Times New Roman" w:eastAsia="方正仿宋简体" w:hAnsi="Times New Roman" w:cs="Times New Roman" w:hint="eastAsia"/>
                <w:color w:val="000000"/>
                <w:kern w:val="0"/>
                <w:sz w:val="18"/>
                <w:szCs w:val="18"/>
              </w:rPr>
              <w:t>版）》内药品采购金额占每年总采购金额比例不逐年上升</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或不达到</w:t>
            </w:r>
            <w:r>
              <w:rPr>
                <w:rFonts w:ascii="Times New Roman" w:eastAsia="方正仿宋简体" w:hAnsi="Times New Roman" w:cs="Times New Roman"/>
                <w:color w:val="000000"/>
                <w:kern w:val="0"/>
                <w:sz w:val="18"/>
                <w:szCs w:val="18"/>
              </w:rPr>
              <w:t>45%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分）；医院国家基本药物使用品种占比比例不逐年上升</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或不达到</w:t>
            </w:r>
            <w:r>
              <w:rPr>
                <w:rFonts w:ascii="Times New Roman" w:eastAsia="方正仿宋简体" w:hAnsi="Times New Roman" w:cs="Times New Roman"/>
                <w:color w:val="000000"/>
                <w:kern w:val="0"/>
                <w:sz w:val="18"/>
                <w:szCs w:val="18"/>
              </w:rPr>
              <w:t>45</w:t>
            </w:r>
            <w:r>
              <w:rPr>
                <w:rFonts w:ascii="Times New Roman" w:eastAsia="方正仿宋简体" w:hAnsi="Times New Roman" w:cs="Times New Roman" w:hint="eastAsia"/>
                <w:color w:val="000000"/>
                <w:kern w:val="0"/>
                <w:sz w:val="18"/>
                <w:szCs w:val="18"/>
              </w:rPr>
              <w:t>％的不得分（</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分）；除精麻药品、急抢救药品、短缺药品外发现一种或一种以上药品未实行网上集中采购的扣</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区卫健委、医保分局</w:t>
            </w:r>
          </w:p>
        </w:tc>
      </w:tr>
      <w:tr w:rsidR="009815A8">
        <w:trPr>
          <w:trHeight w:val="76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医联体内建立</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双向转诊</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制度（</w:t>
            </w:r>
            <w:r>
              <w:rPr>
                <w:rFonts w:ascii="Times New Roman" w:eastAsia="方正仿宋简体" w:hAnsi="Times New Roman" w:cs="Times New Roman"/>
                <w:color w:val="000000"/>
                <w:kern w:val="0"/>
                <w:sz w:val="18"/>
                <w:szCs w:val="18"/>
              </w:rPr>
              <w:t>10</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医联体内有无双向转诊工作方案（</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分）；具体转诊程序是否明确（</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分）；是否建立绿色通道（</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分）；是否建立转诊转院工作台帐（</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分）；是否建立信息化转诊转院系统（</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分）。查阅相关资料，有一项未落实扣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hint="eastAsia"/>
                <w:color w:val="000000"/>
                <w:kern w:val="0"/>
                <w:sz w:val="18"/>
                <w:szCs w:val="18"/>
              </w:rPr>
              <w:t>医联体远程会诊率</w:t>
            </w:r>
            <w:r>
              <w:rPr>
                <w:rFonts w:ascii="Times New Roman" w:eastAsia="方正仿宋简体" w:hAnsi="Times New Roman" w:cs="Times New Roman"/>
                <w:color w:val="000000"/>
                <w:kern w:val="0"/>
                <w:sz w:val="18"/>
                <w:szCs w:val="18"/>
              </w:rPr>
              <w:t>≥80%</w:t>
            </w:r>
            <w:r>
              <w:rPr>
                <w:rFonts w:ascii="Times New Roman" w:eastAsia="方正仿宋简体" w:hAnsi="Times New Roman" w:cs="Times New Roman" w:hint="eastAsia"/>
                <w:color w:val="000000"/>
                <w:kern w:val="0"/>
                <w:sz w:val="18"/>
                <w:szCs w:val="18"/>
              </w:rPr>
              <w:t>，积极开展双向转诊工作，逐步提升双向转诊率</w:t>
            </w:r>
            <w:r>
              <w:rPr>
                <w:rFonts w:ascii="Times New Roman" w:eastAsia="方正仿宋简体" w:hAnsi="Times New Roman" w:cs="Times New Roman"/>
                <w:color w:val="000000"/>
                <w:kern w:val="0"/>
                <w:sz w:val="18"/>
                <w:szCs w:val="18"/>
              </w:rPr>
              <w:t>≥50%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hint="eastAsia"/>
                <w:color w:val="000000"/>
                <w:kern w:val="0"/>
                <w:sz w:val="18"/>
                <w:szCs w:val="18"/>
              </w:rPr>
              <w:t>5</w:t>
            </w:r>
            <w:r>
              <w:rPr>
                <w:rFonts w:ascii="Times New Roman" w:eastAsia="方正仿宋简体" w:hAnsi="Times New Roman" w:cs="Times New Roman" w:hint="eastAsia"/>
                <w:color w:val="000000"/>
                <w:kern w:val="0"/>
                <w:sz w:val="18"/>
                <w:szCs w:val="18"/>
              </w:rPr>
              <w:t>分</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hint="eastAsia"/>
                <w:color w:val="000000"/>
                <w:kern w:val="0"/>
                <w:sz w:val="18"/>
                <w:szCs w:val="18"/>
              </w:rPr>
              <w:t>查阅相关资料，每低一个百分点扣</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区卫健委、区大数据局、医保分局</w:t>
            </w:r>
          </w:p>
        </w:tc>
      </w:tr>
      <w:tr w:rsidR="009815A8">
        <w:trPr>
          <w:trHeight w:val="76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left"/>
              <w:textAlignment w:val="center"/>
              <w:rPr>
                <w:rFonts w:ascii="Times New Roman" w:eastAsia="方正仿宋简体" w:hAnsi="Times New Roman" w:cs="Times New Roman"/>
                <w:color w:val="000000"/>
                <w:kern w:val="0"/>
                <w:sz w:val="18"/>
                <w:szCs w:val="18"/>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下派人员为高年资医师及主治以上业务骨干（</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下派人员符合要求比例</w:t>
            </w:r>
            <w:r>
              <w:rPr>
                <w:rFonts w:ascii="Times New Roman" w:eastAsia="方正仿宋简体" w:hAnsi="Times New Roman" w:cs="Times New Roman"/>
                <w:color w:val="000000"/>
                <w:kern w:val="0"/>
                <w:sz w:val="18"/>
                <w:szCs w:val="18"/>
              </w:rPr>
              <w:t>≥90%</w:t>
            </w:r>
            <w:r>
              <w:rPr>
                <w:rFonts w:ascii="Times New Roman" w:eastAsia="方正仿宋简体" w:hAnsi="Times New Roman" w:cs="Times New Roman" w:hint="eastAsia"/>
                <w:color w:val="000000"/>
                <w:kern w:val="0"/>
                <w:sz w:val="18"/>
                <w:szCs w:val="18"/>
              </w:rPr>
              <w:t>，否则不得分。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center"/>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区卫健委、区人社局</w:t>
            </w:r>
          </w:p>
        </w:tc>
      </w:tr>
      <w:tr w:rsidR="009815A8">
        <w:trPr>
          <w:trHeight w:val="76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基层医疗机构门急诊、住院、出院人次与同期相比是否上涨；基层医疗机构门诊量占门诊总量的比例</w:t>
            </w:r>
            <w:r>
              <w:rPr>
                <w:rFonts w:ascii="Times New Roman" w:eastAsia="方正仿宋简体" w:hAnsi="Times New Roman" w:cs="Times New Roman"/>
                <w:color w:val="000000"/>
                <w:kern w:val="0"/>
                <w:sz w:val="18"/>
                <w:szCs w:val="18"/>
              </w:rPr>
              <w:t>(10</w:t>
            </w:r>
            <w:r>
              <w:rPr>
                <w:rFonts w:ascii="Times New Roman" w:eastAsia="方正仿宋简体" w:hAnsi="Times New Roman" w:cs="Times New Roman" w:hint="eastAsia"/>
                <w:color w:val="000000"/>
                <w:kern w:val="0"/>
                <w:sz w:val="18"/>
                <w:szCs w:val="18"/>
              </w:rPr>
              <w:t>分</w:t>
            </w:r>
            <w:r>
              <w:rPr>
                <w:rFonts w:ascii="Times New Roman" w:eastAsia="方正仿宋简体" w:hAnsi="Times New Roman" w:cs="Times New Roman"/>
                <w:color w:val="000000"/>
                <w:kern w:val="0"/>
                <w:sz w:val="18"/>
                <w:szCs w:val="18"/>
              </w:rPr>
              <w:t>)</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医联体内基层医疗机构年门急诊人次、住院人次、出院人次与上年同期相比上涨</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分）；医联体内基层医疗卫生机构门诊量占门诊总量的比例</w:t>
            </w:r>
            <w:r>
              <w:rPr>
                <w:rFonts w:ascii="Times New Roman" w:eastAsia="方正仿宋简体" w:hAnsi="Times New Roman" w:cs="Times New Roman"/>
                <w:color w:val="000000"/>
                <w:kern w:val="0"/>
                <w:sz w:val="18"/>
                <w:szCs w:val="18"/>
              </w:rPr>
              <w:t>≥65%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分）；通过医保平台查阅，每降低</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个百分点扣</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区卫健委、医保分局</w:t>
            </w:r>
          </w:p>
        </w:tc>
      </w:tr>
      <w:tr w:rsidR="009815A8">
        <w:trPr>
          <w:trHeight w:val="38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医联体内慢病住院率</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医联体内慢病如糖尿病、高血压住院率比上年度降低（</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分），通过医保平台查阅，较上年度下降。</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区卫健委、医保分局</w:t>
            </w:r>
          </w:p>
        </w:tc>
      </w:tr>
      <w:tr w:rsidR="009815A8">
        <w:trPr>
          <w:trHeight w:val="38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left"/>
              <w:textAlignment w:val="center"/>
              <w:rPr>
                <w:rFonts w:ascii="Times New Roman" w:eastAsia="方正仿宋简体" w:hAnsi="Times New Roman" w:cs="Times New Roman"/>
                <w:color w:val="000000"/>
                <w:kern w:val="0"/>
                <w:sz w:val="18"/>
                <w:szCs w:val="18"/>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家庭医生签约服务覆盖率、重点人群覆盖率（</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医联体内家庭医生签约服务覆盖率</w:t>
            </w:r>
            <w:r>
              <w:rPr>
                <w:rFonts w:ascii="Times New Roman" w:eastAsia="方正仿宋简体" w:hAnsi="Times New Roman" w:cs="Times New Roman"/>
                <w:color w:val="000000"/>
                <w:kern w:val="0"/>
                <w:sz w:val="18"/>
                <w:szCs w:val="18"/>
              </w:rPr>
              <w:t>≥30%</w:t>
            </w:r>
            <w:r>
              <w:rPr>
                <w:rFonts w:ascii="Times New Roman" w:eastAsia="方正仿宋简体" w:hAnsi="Times New Roman" w:cs="Times New Roman" w:hint="eastAsia"/>
                <w:color w:val="000000"/>
                <w:kern w:val="0"/>
                <w:sz w:val="18"/>
                <w:szCs w:val="18"/>
              </w:rPr>
              <w:t>、重点人群覆盖率</w:t>
            </w:r>
            <w:r>
              <w:rPr>
                <w:rFonts w:ascii="Times New Roman" w:eastAsia="方正仿宋简体" w:hAnsi="Times New Roman" w:cs="Times New Roman"/>
                <w:color w:val="000000"/>
                <w:kern w:val="0"/>
                <w:sz w:val="18"/>
                <w:szCs w:val="18"/>
              </w:rPr>
              <w:t>≥60%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分），查阅数据资料，较上年度提升。</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center"/>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区卫健委</w:t>
            </w:r>
          </w:p>
        </w:tc>
      </w:tr>
      <w:tr w:rsidR="009815A8">
        <w:trPr>
          <w:trHeight w:val="76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对口精准帮扶</w:t>
            </w:r>
            <w:r>
              <w:rPr>
                <w:rFonts w:ascii="Times New Roman" w:eastAsia="方正仿宋简体" w:hAnsi="Times New Roman" w:cs="Times New Roman"/>
                <w:color w:val="000000"/>
                <w:kern w:val="0"/>
                <w:sz w:val="18"/>
                <w:szCs w:val="18"/>
              </w:rPr>
              <w:t>(3</w:t>
            </w:r>
            <w:r>
              <w:rPr>
                <w:rFonts w:ascii="Times New Roman" w:eastAsia="方正仿宋简体" w:hAnsi="Times New Roman" w:cs="Times New Roman" w:hint="eastAsia"/>
                <w:color w:val="000000"/>
                <w:kern w:val="0"/>
                <w:sz w:val="18"/>
                <w:szCs w:val="18"/>
              </w:rPr>
              <w:t>分</w:t>
            </w:r>
            <w:r>
              <w:rPr>
                <w:rFonts w:ascii="Times New Roman" w:eastAsia="方正仿宋简体" w:hAnsi="Times New Roman" w:cs="Times New Roman"/>
                <w:color w:val="000000"/>
                <w:kern w:val="0"/>
                <w:sz w:val="18"/>
                <w:szCs w:val="18"/>
              </w:rPr>
              <w:t>)</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医联体内：至少帮助社区卫生服务中心创建</w:t>
            </w:r>
            <w:r>
              <w:rPr>
                <w:rFonts w:ascii="Times New Roman" w:eastAsia="方正仿宋简体" w:hAnsi="Times New Roman" w:cs="Times New Roman"/>
                <w:color w:val="000000"/>
                <w:kern w:val="0"/>
                <w:sz w:val="18"/>
                <w:szCs w:val="18"/>
              </w:rPr>
              <w:t>1-2</w:t>
            </w:r>
            <w:r>
              <w:rPr>
                <w:rFonts w:ascii="Times New Roman" w:eastAsia="方正仿宋简体" w:hAnsi="Times New Roman" w:cs="Times New Roman" w:hint="eastAsia"/>
                <w:color w:val="000000"/>
                <w:kern w:val="0"/>
                <w:sz w:val="18"/>
                <w:szCs w:val="18"/>
              </w:rPr>
              <w:t>个特色专科（</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分）；帮助指导创建二级医院（</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分）；帮助社区卫生服务中心符合住院指征的住院人次和手术人次比上年增长（</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分）。查阅相关资料，有一项未落实到位扣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w:t>
            </w:r>
          </w:p>
        </w:tc>
      </w:tr>
      <w:tr w:rsidR="009815A8">
        <w:trPr>
          <w:trHeight w:val="1017"/>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信息公开、基本公共卫生服务、家庭医生签约服务考核（</w:t>
            </w:r>
            <w:r>
              <w:rPr>
                <w:rFonts w:ascii="Times New Roman" w:eastAsia="方正仿宋简体" w:hAnsi="Times New Roman" w:cs="Times New Roman"/>
                <w:color w:val="000000"/>
                <w:kern w:val="0"/>
                <w:sz w:val="18"/>
                <w:szCs w:val="18"/>
              </w:rPr>
              <w:t>4</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医联体牵头医院：是否在网站上公布每季度医联体运行指标信息（其中包含牵头医院运行指标信息和基层医疗卫生机构运行指标信息）（</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分）；是否对成员单位开展基本公共卫生服务指导（</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分）；是否对成员单位进行基本公共卫生服务季度考核（</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分）；是否对成员单位开展家庭医生签约服务考核（</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分）。查阅相关资料，有一项未落实到位扣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区卫健委、区大数据局</w:t>
            </w:r>
          </w:p>
        </w:tc>
      </w:tr>
      <w:tr w:rsidR="009815A8">
        <w:trPr>
          <w:trHeight w:val="760"/>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center"/>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（三）医联体基金管理（</w:t>
            </w:r>
            <w:r>
              <w:rPr>
                <w:rFonts w:ascii="Times New Roman" w:eastAsia="方正仿宋简体" w:hAnsi="Times New Roman" w:cs="Times New Roman"/>
                <w:color w:val="000000"/>
                <w:kern w:val="0"/>
                <w:sz w:val="18"/>
                <w:szCs w:val="18"/>
              </w:rPr>
              <w:t>20</w:t>
            </w:r>
            <w:r>
              <w:rPr>
                <w:rFonts w:ascii="Times New Roman" w:eastAsia="方正仿宋简体" w:hAnsi="Times New Roman" w:cs="Times New Roman" w:hint="eastAsia"/>
                <w:color w:val="000000"/>
                <w:kern w:val="0"/>
                <w:sz w:val="18"/>
                <w:szCs w:val="18"/>
              </w:rPr>
              <w:t>分）</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医联体基金考核与结算（</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医联体牵头医院是否建立医联体内部基金考核方案（</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分）；医联体牵头医院是否完成年度医联体内基金结算考核工作（</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分）；医联体牵头医院是否完成与非医联体的考核工作（</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分）。查阅相关结算考核材料。</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区卫健委、区财政局</w:t>
            </w:r>
          </w:p>
        </w:tc>
      </w:tr>
      <w:tr w:rsidR="009815A8">
        <w:trPr>
          <w:trHeight w:val="38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医联体县域内就诊率（</w:t>
            </w:r>
            <w:r>
              <w:rPr>
                <w:rFonts w:ascii="Times New Roman" w:eastAsia="方正仿宋简体" w:hAnsi="Times New Roman" w:cs="Times New Roman"/>
                <w:color w:val="000000"/>
                <w:kern w:val="0"/>
                <w:sz w:val="18"/>
                <w:szCs w:val="18"/>
              </w:rPr>
              <w:t>3</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医联体县域内就诊率</w:t>
            </w:r>
            <w:r>
              <w:rPr>
                <w:rFonts w:ascii="Times New Roman" w:eastAsia="方正仿宋简体" w:hAnsi="Times New Roman" w:cs="Times New Roman"/>
                <w:color w:val="000000"/>
                <w:kern w:val="0"/>
                <w:sz w:val="18"/>
                <w:szCs w:val="18"/>
              </w:rPr>
              <w:t>≥92%</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3</w:t>
            </w:r>
            <w:r>
              <w:rPr>
                <w:rFonts w:ascii="Times New Roman" w:eastAsia="方正仿宋简体" w:hAnsi="Times New Roman" w:cs="Times New Roman" w:hint="eastAsia"/>
                <w:color w:val="000000"/>
                <w:kern w:val="0"/>
                <w:sz w:val="18"/>
                <w:szCs w:val="18"/>
              </w:rPr>
              <w:t>分）。通过医保平台查阅，每降低</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个百分点扣</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区卫健委、医保分局</w:t>
            </w:r>
          </w:p>
        </w:tc>
      </w:tr>
      <w:tr w:rsidR="009815A8">
        <w:trPr>
          <w:trHeight w:val="95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医保</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三费</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（医药费、检查费、耗材费）同比涨幅占比（</w:t>
            </w:r>
            <w:r>
              <w:rPr>
                <w:rFonts w:ascii="Times New Roman" w:eastAsia="方正仿宋简体" w:hAnsi="Times New Roman" w:cs="Times New Roman"/>
                <w:color w:val="000000"/>
                <w:kern w:val="0"/>
                <w:sz w:val="18"/>
                <w:szCs w:val="18"/>
              </w:rPr>
              <w:t>6</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医联体牵头医院及基层医疗卫生机构住院病人的</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三费</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控制情况，上年度占比</w:t>
            </w:r>
            <w:r>
              <w:rPr>
                <w:rFonts w:ascii="Times New Roman" w:eastAsia="方正仿宋简体" w:hAnsi="Times New Roman" w:cs="Times New Roman"/>
                <w:color w:val="000000"/>
                <w:kern w:val="0"/>
                <w:sz w:val="18"/>
                <w:szCs w:val="18"/>
              </w:rPr>
              <w:t>≥75</w:t>
            </w:r>
            <w:r>
              <w:rPr>
                <w:rFonts w:ascii="Times New Roman" w:eastAsia="方正仿宋简体" w:hAnsi="Times New Roman" w:cs="Times New Roman" w:hint="eastAsia"/>
                <w:color w:val="000000"/>
                <w:kern w:val="0"/>
                <w:sz w:val="18"/>
                <w:szCs w:val="18"/>
              </w:rPr>
              <w:t>％，本年度控制在</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％以内（</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分）；上年度占比在</w:t>
            </w:r>
            <w:r>
              <w:rPr>
                <w:rFonts w:ascii="Times New Roman" w:eastAsia="方正仿宋简体" w:hAnsi="Times New Roman" w:cs="Times New Roman"/>
                <w:color w:val="000000"/>
                <w:kern w:val="0"/>
                <w:sz w:val="18"/>
                <w:szCs w:val="18"/>
              </w:rPr>
              <w:t>65</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-75</w:t>
            </w:r>
            <w:r>
              <w:rPr>
                <w:rFonts w:ascii="Times New Roman" w:eastAsia="方正仿宋简体" w:hAnsi="Times New Roman" w:cs="Times New Roman" w:hint="eastAsia"/>
                <w:color w:val="000000"/>
                <w:kern w:val="0"/>
                <w:sz w:val="18"/>
                <w:szCs w:val="18"/>
              </w:rPr>
              <w:t>％之间的，本年度控制在</w:t>
            </w:r>
            <w:r>
              <w:rPr>
                <w:rFonts w:ascii="Times New Roman" w:eastAsia="方正仿宋简体" w:hAnsi="Times New Roman" w:cs="Times New Roman"/>
                <w:color w:val="000000"/>
                <w:kern w:val="0"/>
                <w:sz w:val="18"/>
                <w:szCs w:val="18"/>
              </w:rPr>
              <w:t>3</w:t>
            </w:r>
            <w:r>
              <w:rPr>
                <w:rFonts w:ascii="Times New Roman" w:eastAsia="方正仿宋简体" w:hAnsi="Times New Roman" w:cs="Times New Roman" w:hint="eastAsia"/>
                <w:color w:val="000000"/>
                <w:kern w:val="0"/>
                <w:sz w:val="18"/>
                <w:szCs w:val="18"/>
              </w:rPr>
              <w:t>％以内（</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分）；上年度占比</w:t>
            </w:r>
            <w:r>
              <w:rPr>
                <w:rFonts w:ascii="Times New Roman" w:eastAsia="方正仿宋简体" w:hAnsi="Times New Roman" w:cs="Times New Roman"/>
                <w:color w:val="000000"/>
                <w:kern w:val="0"/>
                <w:sz w:val="18"/>
                <w:szCs w:val="18"/>
              </w:rPr>
              <w:t>≤55</w:t>
            </w:r>
            <w:r>
              <w:rPr>
                <w:rFonts w:ascii="Times New Roman" w:eastAsia="方正仿宋简体" w:hAnsi="Times New Roman" w:cs="Times New Roman" w:hint="eastAsia"/>
                <w:color w:val="000000"/>
                <w:kern w:val="0"/>
                <w:sz w:val="18"/>
                <w:szCs w:val="18"/>
              </w:rPr>
              <w:t>％，本年度控制在</w:t>
            </w:r>
            <w:r>
              <w:rPr>
                <w:rFonts w:ascii="Times New Roman" w:eastAsia="方正仿宋简体" w:hAnsi="Times New Roman" w:cs="Times New Roman"/>
                <w:color w:val="000000"/>
                <w:kern w:val="0"/>
                <w:sz w:val="18"/>
                <w:szCs w:val="18"/>
              </w:rPr>
              <w:t>5</w:t>
            </w:r>
            <w:r>
              <w:rPr>
                <w:rFonts w:ascii="Times New Roman" w:eastAsia="方正仿宋简体" w:hAnsi="Times New Roman" w:cs="Times New Roman" w:hint="eastAsia"/>
                <w:color w:val="000000"/>
                <w:kern w:val="0"/>
                <w:sz w:val="18"/>
                <w:szCs w:val="18"/>
              </w:rPr>
              <w:t>％以内（</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分）；通过医保平台系统调取，超过涨幅控制范围的，每超过</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个百分点扣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区卫健委、医保分局</w:t>
            </w:r>
          </w:p>
        </w:tc>
      </w:tr>
      <w:tr w:rsidR="009815A8">
        <w:trPr>
          <w:trHeight w:val="57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医联体内医保基金支出占比（</w:t>
            </w:r>
            <w:r>
              <w:rPr>
                <w:rFonts w:ascii="Times New Roman" w:eastAsia="方正仿宋简体" w:hAnsi="Times New Roman" w:cs="Times New Roman"/>
                <w:color w:val="000000"/>
                <w:kern w:val="0"/>
                <w:sz w:val="18"/>
                <w:szCs w:val="18"/>
              </w:rPr>
              <w:t>3</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医联体区域内医保基金支出率</w:t>
            </w:r>
            <w:r>
              <w:rPr>
                <w:rFonts w:ascii="Times New Roman" w:eastAsia="方正仿宋简体" w:hAnsi="Times New Roman" w:cs="Times New Roman"/>
                <w:color w:val="000000"/>
                <w:kern w:val="0"/>
                <w:sz w:val="18"/>
                <w:szCs w:val="18"/>
              </w:rPr>
              <w:t>≥80%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2</w:t>
            </w:r>
            <w:r>
              <w:rPr>
                <w:rFonts w:ascii="Times New Roman" w:eastAsia="方正仿宋简体" w:hAnsi="Times New Roman" w:cs="Times New Roman" w:hint="eastAsia"/>
                <w:color w:val="000000"/>
                <w:kern w:val="0"/>
                <w:sz w:val="18"/>
                <w:szCs w:val="18"/>
              </w:rPr>
              <w:t>分），其中镇级支出率</w:t>
            </w:r>
            <w:r>
              <w:rPr>
                <w:rFonts w:ascii="Times New Roman" w:eastAsia="方正仿宋简体" w:hAnsi="Times New Roman" w:cs="Times New Roman"/>
                <w:color w:val="000000"/>
                <w:kern w:val="0"/>
                <w:sz w:val="18"/>
                <w:szCs w:val="18"/>
              </w:rPr>
              <w:t>≥10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分）；通过医保平台抓取，每超过一个百分点或低于一个百分点扣</w:t>
            </w:r>
            <w:r>
              <w:rPr>
                <w:rFonts w:ascii="Times New Roman" w:eastAsia="方正仿宋简体" w:hAnsi="Times New Roman" w:cs="Times New Roman"/>
                <w:color w:val="000000"/>
                <w:kern w:val="0"/>
                <w:sz w:val="18"/>
                <w:szCs w:val="18"/>
              </w:rPr>
              <w:t>0.5</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区卫健委、医保分局</w:t>
            </w:r>
          </w:p>
        </w:tc>
      </w:tr>
      <w:tr w:rsidR="009815A8">
        <w:trPr>
          <w:trHeight w:val="380"/>
        </w:trPr>
        <w:tc>
          <w:tcPr>
            <w:tcW w:w="118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9815A8">
            <w:pPr>
              <w:widowControl/>
              <w:spacing w:line="240" w:lineRule="exact"/>
              <w:jc w:val="center"/>
              <w:rPr>
                <w:rFonts w:ascii="Times New Roman" w:eastAsia="方正仿宋简体" w:hAnsi="Times New Roman" w:cs="Times New Roman"/>
                <w:color w:val="000000"/>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患者实际补偿费用占比（</w:t>
            </w:r>
            <w:r>
              <w:rPr>
                <w:rFonts w:ascii="Times New Roman" w:eastAsia="方正仿宋简体" w:hAnsi="Times New Roman" w:cs="Times New Roman"/>
                <w:color w:val="000000"/>
                <w:kern w:val="0"/>
                <w:sz w:val="18"/>
                <w:szCs w:val="18"/>
              </w:rPr>
              <w:t>3</w:t>
            </w:r>
            <w:r>
              <w:rPr>
                <w:rFonts w:ascii="Times New Roman" w:eastAsia="方正仿宋简体" w:hAnsi="Times New Roman" w:cs="Times New Roman" w:hint="eastAsia"/>
                <w:color w:val="000000"/>
                <w:kern w:val="0"/>
                <w:sz w:val="18"/>
                <w:szCs w:val="18"/>
              </w:rPr>
              <w:t>分）</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实际补偿比</w:t>
            </w:r>
            <w:r>
              <w:rPr>
                <w:rFonts w:ascii="Times New Roman" w:eastAsia="方正仿宋简体" w:hAnsi="Times New Roman" w:cs="Times New Roman"/>
                <w:color w:val="000000"/>
                <w:kern w:val="0"/>
                <w:sz w:val="18"/>
                <w:szCs w:val="18"/>
              </w:rPr>
              <w:t>≥70%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3</w:t>
            </w:r>
            <w:r>
              <w:rPr>
                <w:rFonts w:ascii="Times New Roman" w:eastAsia="方正仿宋简体" w:hAnsi="Times New Roman" w:cs="Times New Roman" w:hint="eastAsia"/>
                <w:color w:val="000000"/>
                <w:kern w:val="0"/>
                <w:sz w:val="18"/>
                <w:szCs w:val="18"/>
              </w:rPr>
              <w:t>分）。通过医保平台查阅，每降低</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个百分点扣</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区卫健委、医保分局</w:t>
            </w:r>
          </w:p>
        </w:tc>
      </w:tr>
      <w:tr w:rsidR="009815A8">
        <w:trPr>
          <w:trHeight w:val="570"/>
        </w:trPr>
        <w:tc>
          <w:tcPr>
            <w:tcW w:w="11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center"/>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数据报送及时性</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月数据报表、汇报等材料上报及时性</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每月</w:t>
            </w:r>
            <w:r>
              <w:rPr>
                <w:rFonts w:ascii="Times New Roman" w:eastAsia="方正仿宋简体" w:hAnsi="Times New Roman" w:cs="Times New Roman"/>
                <w:color w:val="000000"/>
                <w:kern w:val="0"/>
                <w:sz w:val="18"/>
                <w:szCs w:val="18"/>
              </w:rPr>
              <w:t>15</w:t>
            </w:r>
            <w:r>
              <w:rPr>
                <w:rFonts w:ascii="Times New Roman" w:eastAsia="方正仿宋简体" w:hAnsi="Times New Roman" w:cs="Times New Roman" w:hint="eastAsia"/>
                <w:color w:val="000000"/>
                <w:kern w:val="0"/>
                <w:sz w:val="18"/>
                <w:szCs w:val="18"/>
              </w:rPr>
              <w:t>日前上报上月数据报表</w:t>
            </w:r>
            <w:r>
              <w:rPr>
                <w:rFonts w:ascii="Times New Roman" w:eastAsia="方正仿宋简体" w:hAnsi="Times New Roman" w:cs="Times New Roman"/>
                <w:color w:val="000000"/>
                <w:kern w:val="0"/>
                <w:sz w:val="18"/>
                <w:szCs w:val="18"/>
              </w:rPr>
              <w:t>,</w:t>
            </w:r>
            <w:r>
              <w:rPr>
                <w:rFonts w:ascii="Times New Roman" w:eastAsia="方正仿宋简体" w:hAnsi="Times New Roman" w:cs="Times New Roman" w:hint="eastAsia"/>
                <w:color w:val="000000"/>
                <w:kern w:val="0"/>
                <w:sz w:val="18"/>
                <w:szCs w:val="18"/>
              </w:rPr>
              <w:t>每周上报一条医联体工作简讯，其他汇报材料等按照医改办通知要求即时上报（电子版和盖章纸质版同时上报），迟报一次扣</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分（实行倒扣分制）。</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sz w:val="18"/>
                <w:szCs w:val="18"/>
              </w:rPr>
              <w:t>区卫健委</w:t>
            </w:r>
          </w:p>
        </w:tc>
      </w:tr>
      <w:tr w:rsidR="009815A8">
        <w:trPr>
          <w:trHeight w:val="673"/>
        </w:trPr>
        <w:tc>
          <w:tcPr>
            <w:tcW w:w="11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center"/>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附加项</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spacing w:line="240" w:lineRule="exact"/>
              <w:jc w:val="left"/>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开展远程帮扶</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widowControl/>
              <w:textAlignment w:val="center"/>
              <w:rPr>
                <w:rFonts w:ascii="Times New Roman" w:eastAsia="方正仿宋简体" w:hAnsi="Times New Roman" w:cs="Times New Roman"/>
                <w:color w:val="000000"/>
                <w:kern w:val="0"/>
                <w:sz w:val="18"/>
                <w:szCs w:val="18"/>
              </w:rPr>
            </w:pPr>
            <w:r>
              <w:rPr>
                <w:rFonts w:ascii="Times New Roman" w:eastAsia="方正仿宋简体" w:hAnsi="Times New Roman" w:cs="Times New Roman" w:hint="eastAsia"/>
                <w:color w:val="000000"/>
                <w:kern w:val="0"/>
                <w:sz w:val="18"/>
                <w:szCs w:val="18"/>
              </w:rPr>
              <w:t>开展联合病房，年出院人次占总年出院人次</w:t>
            </w:r>
            <w:r>
              <w:rPr>
                <w:rFonts w:ascii="Times New Roman" w:eastAsia="方正仿宋简体" w:hAnsi="Times New Roman" w:cs="Times New Roman"/>
                <w:color w:val="000000"/>
                <w:kern w:val="0"/>
                <w:sz w:val="18"/>
                <w:szCs w:val="18"/>
              </w:rPr>
              <w:t>≥30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分）；开展空中课堂，年次数</w:t>
            </w:r>
            <w:r>
              <w:rPr>
                <w:rFonts w:ascii="Times New Roman" w:eastAsia="方正仿宋简体" w:hAnsi="Times New Roman" w:cs="Times New Roman"/>
                <w:color w:val="000000"/>
                <w:kern w:val="0"/>
                <w:sz w:val="18"/>
                <w:szCs w:val="18"/>
              </w:rPr>
              <w:t>≥10</w:t>
            </w:r>
            <w:r>
              <w:rPr>
                <w:rFonts w:ascii="Times New Roman" w:eastAsia="方正仿宋简体" w:hAnsi="Times New Roman" w:cs="Times New Roman" w:hint="eastAsia"/>
                <w:color w:val="000000"/>
                <w:kern w:val="0"/>
                <w:sz w:val="18"/>
                <w:szCs w:val="18"/>
              </w:rPr>
              <w:t>，每次参加医护人员</w:t>
            </w:r>
            <w:r>
              <w:rPr>
                <w:rFonts w:ascii="Times New Roman" w:eastAsia="方正仿宋简体" w:hAnsi="Times New Roman" w:cs="Times New Roman"/>
                <w:color w:val="000000"/>
                <w:kern w:val="0"/>
                <w:sz w:val="18"/>
                <w:szCs w:val="18"/>
              </w:rPr>
              <w:t>≥40</w:t>
            </w:r>
            <w:r>
              <w:rPr>
                <w:rFonts w:ascii="Times New Roman" w:eastAsia="方正仿宋简体" w:hAnsi="Times New Roman" w:cs="Times New Roman" w:hint="eastAsia"/>
                <w:color w:val="000000"/>
                <w:kern w:val="0"/>
                <w:sz w:val="18"/>
                <w:szCs w:val="18"/>
              </w:rPr>
              <w:t>％（</w:t>
            </w:r>
            <w:r>
              <w:rPr>
                <w:rFonts w:ascii="Times New Roman" w:eastAsia="方正仿宋简体" w:hAnsi="Times New Roman" w:cs="Times New Roman"/>
                <w:color w:val="000000"/>
                <w:kern w:val="0"/>
                <w:sz w:val="18"/>
                <w:szCs w:val="18"/>
              </w:rPr>
              <w:t>+1</w:t>
            </w:r>
            <w:r>
              <w:rPr>
                <w:rFonts w:ascii="Times New Roman" w:eastAsia="方正仿宋简体" w:hAnsi="Times New Roman" w:cs="Times New Roman" w:hint="eastAsia"/>
                <w:color w:val="000000"/>
                <w:kern w:val="0"/>
                <w:sz w:val="18"/>
                <w:szCs w:val="18"/>
              </w:rPr>
              <w:t>分）；查阅相关资料，未落实到位不得分。</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815A8" w:rsidRDefault="007F72FF">
            <w:pPr>
              <w:jc w:val="center"/>
              <w:rPr>
                <w:rFonts w:ascii="Times New Roman" w:eastAsia="方正仿宋简体" w:hAnsi="Times New Roman" w:cs="Times New Roman"/>
                <w:color w:val="000000"/>
                <w:sz w:val="18"/>
                <w:szCs w:val="18"/>
              </w:rPr>
            </w:pPr>
            <w:r>
              <w:rPr>
                <w:rFonts w:ascii="Times New Roman" w:eastAsia="方正仿宋简体" w:hAnsi="Times New Roman" w:cs="Times New Roman" w:hint="eastAsia"/>
                <w:color w:val="000000"/>
                <w:kern w:val="0"/>
                <w:sz w:val="18"/>
                <w:szCs w:val="18"/>
              </w:rPr>
              <w:t>区卫健委、区大数据局</w:t>
            </w:r>
          </w:p>
        </w:tc>
      </w:tr>
      <w:tr w:rsidR="009815A8">
        <w:trPr>
          <w:trHeight w:val="280"/>
        </w:trPr>
        <w:tc>
          <w:tcPr>
            <w:tcW w:w="13647" w:type="dxa"/>
            <w:gridSpan w:val="4"/>
            <w:tcBorders>
              <w:top w:val="single" w:sz="4" w:space="0" w:color="000000"/>
              <w:left w:val="nil"/>
              <w:bottom w:val="nil"/>
              <w:right w:val="nil"/>
            </w:tcBorders>
            <w:shd w:val="clear" w:color="auto" w:fill="FFFFFF"/>
            <w:tcMar>
              <w:top w:w="10" w:type="dxa"/>
              <w:left w:w="10" w:type="dxa"/>
              <w:right w:w="10" w:type="dxa"/>
            </w:tcMar>
            <w:vAlign w:val="center"/>
          </w:tcPr>
          <w:p w:rsidR="009815A8" w:rsidRDefault="007F72FF">
            <w:pPr>
              <w:widowControl/>
              <w:textAlignment w:val="center"/>
              <w:rPr>
                <w:rFonts w:ascii="Times New Roman" w:eastAsia="方正仿宋简体" w:hAnsi="Times New Roman" w:cs="Times New Roman"/>
                <w:color w:val="000000"/>
              </w:rPr>
            </w:pPr>
            <w:r>
              <w:rPr>
                <w:rFonts w:ascii="Times New Roman" w:eastAsia="方正仿宋简体" w:hAnsi="Times New Roman" w:cs="Times New Roman" w:hint="eastAsia"/>
                <w:color w:val="000000"/>
                <w:kern w:val="0"/>
                <w:sz w:val="18"/>
                <w:szCs w:val="18"/>
              </w:rPr>
              <w:t>备注：所有考核指标数据以医保平台、年度财务报表为准。</w:t>
            </w:r>
          </w:p>
        </w:tc>
      </w:tr>
    </w:tbl>
    <w:p w:rsidR="009815A8" w:rsidRDefault="009815A8"/>
    <w:p w:rsidR="009815A8" w:rsidRDefault="009815A8"/>
    <w:p w:rsidR="009815A8" w:rsidRDefault="009815A8"/>
    <w:sectPr w:rsidR="009815A8" w:rsidSect="009815A8">
      <w:headerReference w:type="default" r:id="rId7"/>
      <w:footerReference w:type="default" r:id="rId8"/>
      <w:pgSz w:w="16838" w:h="11906" w:orient="landscape"/>
      <w:pgMar w:top="1587" w:right="1587" w:bottom="1587"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2FF" w:rsidRPr="0055684F" w:rsidRDefault="007F72FF" w:rsidP="009815A8">
      <w:pPr>
        <w:ind w:firstLine="640"/>
        <w:rPr>
          <w:szCs w:val="20"/>
        </w:rPr>
      </w:pPr>
      <w:r>
        <w:separator/>
      </w:r>
    </w:p>
  </w:endnote>
  <w:endnote w:type="continuationSeparator" w:id="1">
    <w:p w:rsidR="007F72FF" w:rsidRPr="0055684F" w:rsidRDefault="007F72FF" w:rsidP="009815A8">
      <w:pPr>
        <w:ind w:firstLine="640"/>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A8" w:rsidRDefault="009815A8">
    <w:pPr>
      <w:pStyle w:val="a5"/>
      <w:framePr w:wrap="around" w:vAnchor="text" w:hAnchor="margin" w:xAlign="center" w:y="1"/>
      <w:rPr>
        <w:rStyle w:val="a7"/>
        <w:rFonts w:ascii="Times New Roman" w:hAnsi="Times New Roman"/>
        <w:sz w:val="28"/>
        <w:szCs w:val="28"/>
      </w:rPr>
    </w:pPr>
    <w:r>
      <w:rPr>
        <w:rStyle w:val="a7"/>
        <w:rFonts w:ascii="Times New Roman" w:hAnsi="Times New Roman"/>
        <w:sz w:val="28"/>
        <w:szCs w:val="28"/>
      </w:rPr>
      <w:fldChar w:fldCharType="begin"/>
    </w:r>
    <w:r w:rsidR="007F72FF">
      <w:rPr>
        <w:rStyle w:val="a7"/>
        <w:rFonts w:ascii="Times New Roman" w:hAnsi="Times New Roman"/>
        <w:sz w:val="28"/>
        <w:szCs w:val="28"/>
      </w:rPr>
      <w:instrText xml:space="preserve">PAGE  </w:instrText>
    </w:r>
    <w:r>
      <w:rPr>
        <w:rStyle w:val="a7"/>
        <w:rFonts w:ascii="Times New Roman" w:hAnsi="Times New Roman"/>
        <w:sz w:val="28"/>
        <w:szCs w:val="28"/>
      </w:rPr>
      <w:fldChar w:fldCharType="separate"/>
    </w:r>
    <w:r w:rsidR="00013984">
      <w:rPr>
        <w:rStyle w:val="a7"/>
        <w:rFonts w:ascii="Times New Roman" w:hAnsi="Times New Roman"/>
        <w:noProof/>
        <w:sz w:val="28"/>
        <w:szCs w:val="28"/>
      </w:rPr>
      <w:t>- 1 -</w:t>
    </w:r>
    <w:r>
      <w:rPr>
        <w:rStyle w:val="a7"/>
        <w:rFonts w:ascii="Times New Roman" w:hAnsi="Times New Roman"/>
        <w:sz w:val="28"/>
        <w:szCs w:val="28"/>
      </w:rPr>
      <w:fldChar w:fldCharType="end"/>
    </w:r>
  </w:p>
  <w:p w:rsidR="009815A8" w:rsidRDefault="009815A8">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2FF" w:rsidRPr="0055684F" w:rsidRDefault="007F72FF" w:rsidP="009815A8">
      <w:pPr>
        <w:ind w:firstLine="640"/>
        <w:rPr>
          <w:szCs w:val="20"/>
        </w:rPr>
      </w:pPr>
      <w:r>
        <w:separator/>
      </w:r>
    </w:p>
  </w:footnote>
  <w:footnote w:type="continuationSeparator" w:id="1">
    <w:p w:rsidR="007F72FF" w:rsidRPr="0055684F" w:rsidRDefault="007F72FF" w:rsidP="009815A8">
      <w:pPr>
        <w:ind w:firstLine="640"/>
        <w:rPr>
          <w:szCs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A8" w:rsidRDefault="009815A8">
    <w:pPr>
      <w:pStyle w:val="a6"/>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0B73BC6"/>
    <w:rsid w:val="00013984"/>
    <w:rsid w:val="00013BC0"/>
    <w:rsid w:val="00157683"/>
    <w:rsid w:val="001B0E32"/>
    <w:rsid w:val="0026719A"/>
    <w:rsid w:val="00272E3E"/>
    <w:rsid w:val="00323CFE"/>
    <w:rsid w:val="00353291"/>
    <w:rsid w:val="00353753"/>
    <w:rsid w:val="0037523B"/>
    <w:rsid w:val="003D55CF"/>
    <w:rsid w:val="0041463C"/>
    <w:rsid w:val="00456CE4"/>
    <w:rsid w:val="004C03F6"/>
    <w:rsid w:val="004D1792"/>
    <w:rsid w:val="00510621"/>
    <w:rsid w:val="00530F71"/>
    <w:rsid w:val="005622FB"/>
    <w:rsid w:val="00586956"/>
    <w:rsid w:val="005F05FB"/>
    <w:rsid w:val="006D73C9"/>
    <w:rsid w:val="006F2107"/>
    <w:rsid w:val="00792628"/>
    <w:rsid w:val="007C0D66"/>
    <w:rsid w:val="007D2F76"/>
    <w:rsid w:val="007F72FF"/>
    <w:rsid w:val="008852C9"/>
    <w:rsid w:val="008D067C"/>
    <w:rsid w:val="008E160B"/>
    <w:rsid w:val="00920C5B"/>
    <w:rsid w:val="0098092C"/>
    <w:rsid w:val="009815A8"/>
    <w:rsid w:val="009B3DDB"/>
    <w:rsid w:val="00A458EB"/>
    <w:rsid w:val="00B03FF7"/>
    <w:rsid w:val="00B416C9"/>
    <w:rsid w:val="00B74101"/>
    <w:rsid w:val="00C05277"/>
    <w:rsid w:val="00C05860"/>
    <w:rsid w:val="00C074D5"/>
    <w:rsid w:val="00C55FB5"/>
    <w:rsid w:val="00C8133D"/>
    <w:rsid w:val="00D21933"/>
    <w:rsid w:val="00D81C8E"/>
    <w:rsid w:val="00F03FBD"/>
    <w:rsid w:val="00F0548D"/>
    <w:rsid w:val="00F453BD"/>
    <w:rsid w:val="00F725E4"/>
    <w:rsid w:val="032A23ED"/>
    <w:rsid w:val="0B0B23F3"/>
    <w:rsid w:val="1D047B08"/>
    <w:rsid w:val="21236F22"/>
    <w:rsid w:val="2E875AA6"/>
    <w:rsid w:val="3BC07C4C"/>
    <w:rsid w:val="43DE5386"/>
    <w:rsid w:val="47A664D1"/>
    <w:rsid w:val="4B5E3D10"/>
    <w:rsid w:val="4E1F74C7"/>
    <w:rsid w:val="50B73BC6"/>
    <w:rsid w:val="52D41574"/>
    <w:rsid w:val="5438363E"/>
    <w:rsid w:val="5D091A0E"/>
    <w:rsid w:val="5F3B1FCF"/>
    <w:rsid w:val="6C25120D"/>
    <w:rsid w:val="6C410FEA"/>
    <w:rsid w:val="6CB346BA"/>
    <w:rsid w:val="709E37DA"/>
    <w:rsid w:val="7D0A718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nhideWhenUsed="0"/>
    <w:lsdException w:name="header" w:locked="0" w:unhideWhenUsed="0" w:qFormat="1"/>
    <w:lsdException w:name="footer" w:locked="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815A8"/>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9815A8"/>
    <w:pPr>
      <w:jc w:val="left"/>
    </w:pPr>
  </w:style>
  <w:style w:type="paragraph" w:styleId="a4">
    <w:name w:val="Body Text"/>
    <w:basedOn w:val="a"/>
    <w:link w:val="Char0"/>
    <w:uiPriority w:val="99"/>
    <w:qFormat/>
    <w:locked/>
    <w:rsid w:val="009815A8"/>
    <w:pPr>
      <w:autoSpaceDE w:val="0"/>
      <w:autoSpaceDN w:val="0"/>
      <w:jc w:val="left"/>
    </w:pPr>
    <w:rPr>
      <w:rFonts w:ascii="宋体" w:hAnsi="宋体" w:cs="宋体"/>
      <w:kern w:val="0"/>
      <w:sz w:val="53"/>
      <w:szCs w:val="53"/>
      <w:lang w:eastAsia="en-US"/>
    </w:rPr>
  </w:style>
  <w:style w:type="paragraph" w:styleId="a5">
    <w:name w:val="footer"/>
    <w:basedOn w:val="a"/>
    <w:link w:val="Char1"/>
    <w:uiPriority w:val="99"/>
    <w:semiHidden/>
    <w:qFormat/>
    <w:rsid w:val="009815A8"/>
    <w:pPr>
      <w:tabs>
        <w:tab w:val="center" w:pos="4153"/>
        <w:tab w:val="right" w:pos="8306"/>
      </w:tabs>
      <w:snapToGrid w:val="0"/>
      <w:jc w:val="left"/>
    </w:pPr>
    <w:rPr>
      <w:sz w:val="18"/>
      <w:szCs w:val="18"/>
    </w:rPr>
  </w:style>
  <w:style w:type="paragraph" w:styleId="a6">
    <w:name w:val="header"/>
    <w:basedOn w:val="a"/>
    <w:link w:val="Char2"/>
    <w:uiPriority w:val="99"/>
    <w:semiHidden/>
    <w:qFormat/>
    <w:rsid w:val="009815A8"/>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sid w:val="009815A8"/>
    <w:rPr>
      <w:rFonts w:cs="Times New Roman"/>
    </w:rPr>
  </w:style>
  <w:style w:type="character" w:customStyle="1" w:styleId="Char">
    <w:name w:val="批注文字 Char"/>
    <w:basedOn w:val="a0"/>
    <w:link w:val="a3"/>
    <w:uiPriority w:val="99"/>
    <w:semiHidden/>
    <w:qFormat/>
    <w:locked/>
    <w:rsid w:val="009815A8"/>
    <w:rPr>
      <w:rFonts w:ascii="Calibri" w:hAnsi="Calibri" w:cs="Calibri"/>
      <w:sz w:val="21"/>
      <w:szCs w:val="21"/>
    </w:rPr>
  </w:style>
  <w:style w:type="character" w:customStyle="1" w:styleId="Char1">
    <w:name w:val="页脚 Char"/>
    <w:basedOn w:val="a0"/>
    <w:link w:val="a5"/>
    <w:uiPriority w:val="99"/>
    <w:semiHidden/>
    <w:qFormat/>
    <w:locked/>
    <w:rsid w:val="009815A8"/>
    <w:rPr>
      <w:rFonts w:ascii="Calibri" w:hAnsi="Calibri" w:cs="Calibri"/>
      <w:sz w:val="18"/>
      <w:szCs w:val="18"/>
    </w:rPr>
  </w:style>
  <w:style w:type="character" w:customStyle="1" w:styleId="Char2">
    <w:name w:val="页眉 Char"/>
    <w:basedOn w:val="a0"/>
    <w:link w:val="a6"/>
    <w:uiPriority w:val="99"/>
    <w:semiHidden/>
    <w:qFormat/>
    <w:locked/>
    <w:rsid w:val="009815A8"/>
    <w:rPr>
      <w:rFonts w:ascii="Calibri" w:hAnsi="Calibri" w:cs="Calibri"/>
      <w:sz w:val="18"/>
      <w:szCs w:val="18"/>
    </w:rPr>
  </w:style>
  <w:style w:type="character" w:customStyle="1" w:styleId="Char0">
    <w:name w:val="正文文本 Char"/>
    <w:basedOn w:val="a0"/>
    <w:link w:val="a4"/>
    <w:uiPriority w:val="99"/>
    <w:semiHidden/>
    <w:qFormat/>
    <w:rsid w:val="009815A8"/>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1746</Words>
  <Characters>1781</Characters>
  <Application>Microsoft Office Word</Application>
  <DocSecurity>0</DocSecurity>
  <Lines>77</Lines>
  <Paragraphs>29</Paragraphs>
  <ScaleCrop>false</ScaleCrop>
  <Company>Microsoft</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南京市江宁区区域紧密型医共体试点建设</dc:title>
  <dc:creator>曹永生</dc:creator>
  <cp:lastModifiedBy>南京市江宁区卫生健康委员会</cp:lastModifiedBy>
  <cp:revision>16</cp:revision>
  <cp:lastPrinted>2020-05-26T03:31:00Z</cp:lastPrinted>
  <dcterms:created xsi:type="dcterms:W3CDTF">2020-05-12T06:52:00Z</dcterms:created>
  <dcterms:modified xsi:type="dcterms:W3CDTF">2020-10-10T08:30:00Z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