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方正仿宋简体" w:hAnsi="方正仿宋简体" w:eastAsia="方正仿宋简体" w:cs="方正仿宋简体"/>
          <w:sz w:val="30"/>
          <w:szCs w:val="30"/>
          <w:lang w:val="en-US" w:eastAsia="zh-CN"/>
        </w:rPr>
      </w:pPr>
      <w:bookmarkStart w:id="0" w:name="_GoBack"/>
      <w:bookmarkEnd w:id="0"/>
      <w:r>
        <w:rPr>
          <w:rFonts w:hint="eastAsia" w:ascii="方正仿宋简体" w:hAnsi="方正仿宋简体" w:eastAsia="方正仿宋简体" w:cs="方正仿宋简体"/>
          <w:sz w:val="30"/>
          <w:szCs w:val="30"/>
          <w:lang w:val="en-US" w:eastAsia="zh-CN"/>
        </w:rPr>
        <w:t>附件一</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南京市江宁区征地区片综合地价范围及补偿标准</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88"/>
        <w:gridCol w:w="5205"/>
        <w:gridCol w:w="1838"/>
        <w:gridCol w:w="1877"/>
        <w:gridCol w:w="179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区片</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名称</w:t>
            </w:r>
          </w:p>
        </w:tc>
        <w:tc>
          <w:tcPr>
            <w:tcW w:w="466"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街道</w:t>
            </w:r>
          </w:p>
        </w:tc>
        <w:tc>
          <w:tcPr>
            <w:tcW w:w="1747"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区片范围</w:t>
            </w:r>
          </w:p>
        </w:tc>
        <w:tc>
          <w:tcPr>
            <w:tcW w:w="617"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征地区片价补偿标准</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（万元/亩）</w:t>
            </w:r>
          </w:p>
        </w:tc>
        <w:tc>
          <w:tcPr>
            <w:tcW w:w="630"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土地补偿费</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（万元/亩）</w:t>
            </w:r>
          </w:p>
        </w:tc>
        <w:tc>
          <w:tcPr>
            <w:tcW w:w="603"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安置补助费</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（万元/人）</w:t>
            </w:r>
          </w:p>
        </w:tc>
        <w:tc>
          <w:tcPr>
            <w:tcW w:w="516" w:type="pct"/>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基准人均土地</w:t>
            </w:r>
          </w:p>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一级</w:t>
            </w:r>
          </w:p>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区片</w:t>
            </w: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东山街道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color w:val="auto"/>
                <w:kern w:val="0"/>
                <w:sz w:val="24"/>
                <w:szCs w:val="24"/>
                <w:highlight w:val="none"/>
                <w:lang w:val="en-US" w:eastAsia="zh-CN" w:bidi="ar-SA"/>
              </w:rPr>
            </w:pPr>
            <w:r>
              <w:rPr>
                <w:rFonts w:hint="eastAsia" w:ascii="方正仿宋简体" w:hAnsi="方正仿宋简体" w:eastAsia="方正仿宋简体" w:cs="方正仿宋简体"/>
                <w:color w:val="auto"/>
                <w:kern w:val="0"/>
                <w:sz w:val="24"/>
                <w:szCs w:val="24"/>
                <w:highlight w:val="none"/>
                <w:lang w:val="en-US" w:eastAsia="zh-CN" w:bidi="ar-SA"/>
              </w:rPr>
              <w:t>龙西社区、佘村社区、上坊社区、泥塘社区、永安社区、大里社区、远泰路社区（原大里社区）、高桥社区、中前社区、章村社区、骆村社区（撤组）、邵圣社区（撤组）、岔路社区（撤组）、天云社区、东山社区、晓里社区、上元路社区（原晓里社区）、外港社区</w:t>
            </w:r>
          </w:p>
        </w:tc>
        <w:tc>
          <w:tcPr>
            <w:tcW w:w="617"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13.01</w:t>
            </w:r>
          </w:p>
        </w:tc>
        <w:tc>
          <w:tcPr>
            <w:tcW w:w="630"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3.2</w:t>
            </w:r>
          </w:p>
        </w:tc>
        <w:tc>
          <w:tcPr>
            <w:tcW w:w="603"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9.81</w:t>
            </w:r>
          </w:p>
        </w:tc>
        <w:tc>
          <w:tcPr>
            <w:tcW w:w="516"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谷里街道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color w:val="auto"/>
                <w:kern w:val="0"/>
                <w:sz w:val="24"/>
                <w:szCs w:val="24"/>
                <w:highlight w:val="none"/>
                <w:lang w:val="en-US" w:eastAsia="zh-CN" w:bidi="ar-SA"/>
              </w:rPr>
            </w:pPr>
            <w:r>
              <w:rPr>
                <w:rFonts w:hint="eastAsia" w:ascii="方正仿宋简体" w:hAnsi="方正仿宋简体" w:eastAsia="方正仿宋简体" w:cs="方正仿宋简体"/>
                <w:color w:val="auto"/>
                <w:kern w:val="0"/>
                <w:sz w:val="24"/>
                <w:szCs w:val="24"/>
                <w:highlight w:val="none"/>
                <w:lang w:val="en-US" w:eastAsia="zh-CN" w:bidi="ar-SA"/>
              </w:rPr>
              <w:t>公塘社区、双塘村、张溪社区、向阳社区、箭塘社区、周村社区、荆刘村、石坝村、柏树村、亲见村、谷里社区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秣陵街道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color w:val="auto"/>
                <w:kern w:val="0"/>
                <w:sz w:val="24"/>
                <w:szCs w:val="24"/>
                <w:highlight w:val="none"/>
                <w:lang w:val="en-US" w:eastAsia="zh-CN" w:bidi="ar-SA"/>
              </w:rPr>
            </w:pPr>
            <w:r>
              <w:rPr>
                <w:rFonts w:hint="eastAsia" w:ascii="方正仿宋简体" w:hAnsi="方正仿宋简体" w:eastAsia="方正仿宋简体" w:cs="方正仿宋简体"/>
                <w:color w:val="auto"/>
                <w:kern w:val="0"/>
                <w:sz w:val="24"/>
                <w:szCs w:val="24"/>
                <w:highlight w:val="none"/>
                <w:lang w:val="en-US" w:eastAsia="zh-CN" w:bidi="ar-SA"/>
              </w:rPr>
              <w:t>东旺社区、火炬村、双金社区、西旺社区、家园社区、凤凰村、周里村、建东村、长山社区、殷巷社区、下墟社区、东南社区、牛首社区、青源社区、秦淮社区、胜太社区（撤组）、湖滨社区（撤组）、太平社区（撤组）、童前社区、东善桥社区、霞辉庙社区、吉山社区、胜家桥社区、元山社区、祖堂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麒麟街道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color w:val="auto"/>
                <w:kern w:val="0"/>
                <w:sz w:val="24"/>
                <w:szCs w:val="24"/>
                <w:highlight w:val="none"/>
                <w:lang w:val="en-US" w:eastAsia="zh-CN" w:bidi="ar-SA"/>
              </w:rPr>
            </w:pPr>
            <w:r>
              <w:rPr>
                <w:rFonts w:hint="eastAsia" w:ascii="方正仿宋简体" w:hAnsi="方正仿宋简体" w:eastAsia="方正仿宋简体" w:cs="方正仿宋简体"/>
                <w:color w:val="auto"/>
                <w:kern w:val="0"/>
                <w:sz w:val="24"/>
                <w:szCs w:val="24"/>
                <w:highlight w:val="none"/>
                <w:lang w:val="en-US" w:eastAsia="zh-CN" w:bidi="ar-SA"/>
              </w:rPr>
              <w:t>泉水社区、建南社区、麒麟门社区、青西社区（原麒麟门社区）、悦民社区（原麒麟门社区）、麒麟铺社区、晨光社区、东流村、袁家边村、锁石社区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淳化街道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永宁社区、王墅社区、解溪社区、新华社区、陵里社区、新林村、成山社区、桥头社区、横岭社区、杨村社区、方山社区、科苑社区（撤组）、淳化社区、双岗社区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二级区片</w:t>
            </w: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淳化街道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索墅社区、青龙社区、吴墅社区、青山社区、田园社区、土桥社区、周郎村、新兴社区、滨淮村、民主村、周子村、西埠村、柏墅村、西城村、茶岗村</w:t>
            </w:r>
          </w:p>
        </w:tc>
        <w:tc>
          <w:tcPr>
            <w:tcW w:w="617"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10.21</w:t>
            </w:r>
          </w:p>
        </w:tc>
        <w:tc>
          <w:tcPr>
            <w:tcW w:w="630"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3.2</w:t>
            </w:r>
          </w:p>
        </w:tc>
        <w:tc>
          <w:tcPr>
            <w:tcW w:w="603"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9.81</w:t>
            </w:r>
          </w:p>
        </w:tc>
        <w:tc>
          <w:tcPr>
            <w:tcW w:w="516"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横溪街道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陶吴社区、甘泉湖社区、新杭社区、甘西社区、西泉社区、西阳社区</w:t>
            </w:r>
          </w:p>
        </w:tc>
        <w:tc>
          <w:tcPr>
            <w:tcW w:w="617"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湖熟街道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湖熟社区、金桥社区、河南社区、三界村、丹桂村、新跃社区、耀华社区、河北社区、和进社区、杨柳湖社区、龙都社区、万安村</w:t>
            </w:r>
          </w:p>
        </w:tc>
        <w:tc>
          <w:tcPr>
            <w:tcW w:w="617"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江宁街道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清修村、上湖村、盛江社区、司家社区、新洲村、江宁社区、新铜社区、牧龙社区</w:t>
            </w:r>
          </w:p>
        </w:tc>
        <w:tc>
          <w:tcPr>
            <w:tcW w:w="617"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禄口街道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杨树湾村、成功村、张桥社区、马铺社区、陆纲社区、白云路社区、永兴社区、山塘社区、群力社区（撤组）、新生社区、高伏社区、秦村社区、黄桥社区、上穆社区、钟村社区、陶东社区</w:t>
            </w:r>
          </w:p>
        </w:tc>
        <w:tc>
          <w:tcPr>
            <w:tcW w:w="617"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9"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汤山街道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湖山村、古泉社区、龙尚村、孟塘村、青林社区、汤山社区、作厂社区、路西村、建设村</w:t>
            </w:r>
          </w:p>
        </w:tc>
        <w:tc>
          <w:tcPr>
            <w:tcW w:w="617"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t>三级区片</w:t>
            </w: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横溪街道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横溪社区、官长社区、云台社区、新杨社区、安民社区、许呈社区、横山社区、红旗社区、石塘社区、丹阳社区、勇跃社区、宁光社区、山景社区、许高社区、西岗社区</w:t>
            </w:r>
          </w:p>
        </w:tc>
        <w:tc>
          <w:tcPr>
            <w:tcW w:w="617"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t>8.97</w:t>
            </w:r>
          </w:p>
        </w:tc>
        <w:tc>
          <w:tcPr>
            <w:tcW w:w="630"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t>3.2</w:t>
            </w:r>
          </w:p>
        </w:tc>
        <w:tc>
          <w:tcPr>
            <w:tcW w:w="603"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t>9.81</w:t>
            </w:r>
          </w:p>
        </w:tc>
        <w:tc>
          <w:tcPr>
            <w:tcW w:w="516" w:type="pct"/>
            <w:vMerge w:val="restar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br w:type="textWrapping"/>
            </w:r>
            <w:r>
              <w:rPr>
                <w:rFonts w:hint="eastAsia" w:ascii="方正仿宋简体" w:hAnsi="方正仿宋简体" w:eastAsia="方正仿宋简体" w:cs="方正仿宋简体"/>
                <w:kern w:val="0"/>
                <w:sz w:val="24"/>
                <w:szCs w:val="24"/>
                <w:highlight w:val="no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湖熟街道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双新社区、晶明村、东阳社区、新农社区、尚桥社区、和平村、周岗社区、钱家村、徐慕村、绿杨村</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江宁街道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left"/>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陆郎社区、河西社区、西宁村、荷花社区、朱门社区、大庙村、牌坊村、花塘村、庙庄村、星辉社区、天然村、洪幕村、南山湖社区、叶村社区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禄口街道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谢村社区、陈巷社区、桑园社区、徒土盖社区、尚洪社区、石埝社区、小彭社区、彭福村、曹村村、埂方社区、溧塘社区</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466" w:type="pct"/>
            <w:vAlign w:val="center"/>
          </w:tcPr>
          <w:p>
            <w:pPr>
              <w:spacing w:before="0" w:beforeAutospacing="0" w:after="0" w:afterAutospacing="0" w:line="480" w:lineRule="exact"/>
              <w:ind w:firstLine="0" w:firstLineChars="0"/>
              <w:jc w:val="center"/>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汤山街道</w:t>
            </w:r>
          </w:p>
        </w:tc>
        <w:tc>
          <w:tcPr>
            <w:tcW w:w="1747" w:type="pct"/>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方正仿宋简体" w:hAnsi="方正仿宋简体" w:eastAsia="方正仿宋简体" w:cs="方正仿宋简体"/>
                <w:kern w:val="0"/>
                <w:sz w:val="24"/>
                <w:szCs w:val="24"/>
                <w:highlight w:val="none"/>
                <w:lang w:val="en-US" w:eastAsia="zh-CN" w:bidi="ar-SA"/>
              </w:rPr>
            </w:pPr>
            <w:r>
              <w:rPr>
                <w:rFonts w:hint="eastAsia" w:ascii="方正仿宋简体" w:hAnsi="方正仿宋简体" w:eastAsia="方正仿宋简体" w:cs="方正仿宋简体"/>
                <w:kern w:val="0"/>
                <w:sz w:val="24"/>
                <w:szCs w:val="24"/>
                <w:highlight w:val="none"/>
                <w:lang w:val="en-US" w:eastAsia="zh-CN" w:bidi="ar-SA"/>
              </w:rPr>
              <w:t>孟墓社区、鹤龄社区、高庄社区、上峰社区、宁西村、阜东村、阜庄村</w:t>
            </w:r>
          </w:p>
        </w:tc>
        <w:tc>
          <w:tcPr>
            <w:tcW w:w="617"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30"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603"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c>
          <w:tcPr>
            <w:tcW w:w="516" w:type="pct"/>
            <w:vMerge w:val="continue"/>
            <w:vAlign w:val="center"/>
          </w:tcPr>
          <w:p>
            <w:pPr>
              <w:spacing w:before="0" w:beforeAutospacing="0" w:after="0" w:afterAutospacing="0" w:line="480" w:lineRule="exact"/>
              <w:ind w:firstLine="0" w:firstLineChars="0"/>
              <w:jc w:val="center"/>
              <w:rPr>
                <w:rFonts w:hint="eastAsia" w:ascii="Times New Roman" w:hAnsi="Times New Roman" w:eastAsia="方正仿宋_GBK" w:cs="Arial Unicode MS"/>
                <w:kern w:val="0"/>
                <w:sz w:val="24"/>
                <w:szCs w:val="24"/>
                <w:highlight w:val="none"/>
                <w:lang w:val="en-US" w:eastAsia="zh-CN" w:bidi="ar-SA"/>
              </w:rPr>
            </w:pPr>
          </w:p>
        </w:tc>
      </w:tr>
    </w:tbl>
    <w:p>
      <w:pPr>
        <w:numPr>
          <w:ilvl w:val="0"/>
          <w:numId w:val="0"/>
        </w:numPr>
        <w:jc w:val="center"/>
        <w:rPr>
          <w:rFonts w:hint="default" w:ascii="方正仿宋简体" w:hAnsi="方正仿宋简体" w:eastAsia="方正仿宋简体" w:cs="方正仿宋简体"/>
          <w:sz w:val="30"/>
          <w:szCs w:val="30"/>
          <w:lang w:val="en-US"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0"/>
        </w:num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附件二</w:t>
      </w:r>
    </w:p>
    <w:p>
      <w:pPr>
        <w:numPr>
          <w:ilvl w:val="0"/>
          <w:numId w:val="0"/>
        </w:numPr>
        <w:jc w:val="center"/>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房屋以外的其他地上附着物和青苗补偿标准</w:t>
      </w: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表2-1：其他地上附着物和青苗补偿价标准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21" w:type="dxa"/>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范围</w:t>
            </w:r>
          </w:p>
        </w:tc>
        <w:tc>
          <w:tcPr>
            <w:tcW w:w="4621" w:type="dxa"/>
            <w:vAlign w:val="center"/>
          </w:tcPr>
          <w:p>
            <w:pPr>
              <w:spacing w:before="0" w:beforeAutospacing="0" w:after="0" w:afterAutospacing="0" w:line="400" w:lineRule="exact"/>
              <w:ind w:firstLine="0" w:firstLineChars="0"/>
              <w:jc w:val="center"/>
              <w:rPr>
                <w:rFonts w:hint="eastAsia" w:ascii="方正小标宋简体" w:hAnsi="方正小标宋简体" w:eastAsia="方正小标宋简体" w:cs="方正小标宋简体"/>
                <w:kern w:val="0"/>
                <w:sz w:val="28"/>
                <w:szCs w:val="28"/>
                <w:highlight w:val="none"/>
                <w:lang w:val="en-US" w:eastAsia="zh-CN" w:bidi="ar-SA"/>
              </w:rPr>
            </w:pPr>
            <w:r>
              <w:rPr>
                <w:rFonts w:hint="eastAsia" w:ascii="方正小标宋简体" w:hAnsi="方正小标宋简体" w:eastAsia="方正小标宋简体" w:cs="方正小标宋简体"/>
                <w:kern w:val="0"/>
                <w:sz w:val="28"/>
                <w:szCs w:val="28"/>
                <w:highlight w:val="none"/>
                <w:lang w:val="en-US" w:eastAsia="zh-CN" w:bidi="ar-SA"/>
              </w:rPr>
              <w:t>标准（万元/亩）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621" w:type="dxa"/>
            <w:vAlign w:val="center"/>
          </w:tcPr>
          <w:p>
            <w:pPr>
              <w:spacing w:before="0" w:beforeAutospacing="0" w:after="0" w:afterAutospacing="0" w:line="400" w:lineRule="exact"/>
              <w:ind w:firstLine="0" w:firstLineChars="0"/>
              <w:jc w:val="center"/>
              <w:rPr>
                <w:rFonts w:hint="eastAsia" w:ascii="方正仿宋简体" w:hAnsi="方正仿宋简体" w:eastAsia="方正仿宋简体" w:cs="方正仿宋简体"/>
                <w:kern w:val="0"/>
                <w:sz w:val="28"/>
                <w:szCs w:val="28"/>
                <w:highlight w:val="none"/>
                <w:lang w:val="en-US" w:eastAsia="zh-CN" w:bidi="ar-SA"/>
              </w:rPr>
            </w:pPr>
            <w:r>
              <w:rPr>
                <w:rFonts w:hint="eastAsia" w:ascii="方正仿宋简体" w:hAnsi="方正仿宋简体" w:eastAsia="方正仿宋简体" w:cs="方正仿宋简体"/>
                <w:kern w:val="0"/>
                <w:sz w:val="28"/>
                <w:szCs w:val="28"/>
                <w:highlight w:val="none"/>
                <w:lang w:val="en-US" w:eastAsia="zh-CN" w:bidi="ar-SA"/>
              </w:rPr>
              <w:t>江宁区</w:t>
            </w:r>
          </w:p>
        </w:tc>
        <w:tc>
          <w:tcPr>
            <w:tcW w:w="4621" w:type="dxa"/>
            <w:vAlign w:val="center"/>
          </w:tcPr>
          <w:p>
            <w:pPr>
              <w:spacing w:before="0" w:beforeAutospacing="0" w:after="0" w:afterAutospacing="0" w:line="400" w:lineRule="exact"/>
              <w:ind w:firstLine="0" w:firstLineChars="0"/>
              <w:jc w:val="center"/>
              <w:rPr>
                <w:rFonts w:hint="eastAsia" w:ascii="方正仿宋简体" w:hAnsi="方正仿宋简体" w:eastAsia="方正仿宋简体" w:cs="方正仿宋简体"/>
                <w:kern w:val="0"/>
                <w:sz w:val="28"/>
                <w:szCs w:val="28"/>
                <w:highlight w:val="none"/>
                <w:lang w:val="en-US" w:eastAsia="zh-CN" w:bidi="ar-SA"/>
              </w:rPr>
            </w:pPr>
            <w:r>
              <w:rPr>
                <w:rFonts w:hint="eastAsia" w:ascii="方正仿宋简体" w:hAnsi="方正仿宋简体" w:eastAsia="方正仿宋简体" w:cs="方正仿宋简体"/>
                <w:kern w:val="0"/>
                <w:sz w:val="28"/>
                <w:szCs w:val="28"/>
                <w:highlight w:val="no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242" w:type="dxa"/>
            <w:gridSpan w:val="2"/>
            <w:vAlign w:val="center"/>
          </w:tcPr>
          <w:p>
            <w:pPr>
              <w:spacing w:before="0" w:beforeAutospacing="0" w:after="0" w:afterAutospacing="0" w:line="400" w:lineRule="exact"/>
              <w:jc w:val="left"/>
              <w:rPr>
                <w:rFonts w:hint="eastAsia" w:ascii="方正仿宋简体" w:hAnsi="方正仿宋简体" w:eastAsia="方正仿宋简体" w:cs="方正仿宋简体"/>
                <w:kern w:val="0"/>
                <w:sz w:val="28"/>
                <w:szCs w:val="28"/>
                <w:highlight w:val="none"/>
                <w:lang w:val="en-US" w:eastAsia="zh-CN" w:bidi="ar-SA"/>
              </w:rPr>
            </w:pPr>
            <w:r>
              <w:rPr>
                <w:rFonts w:hint="eastAsia" w:ascii="方正仿宋简体" w:hAnsi="方正仿宋简体" w:eastAsia="方正仿宋简体" w:cs="方正仿宋简体"/>
                <w:kern w:val="0"/>
                <w:sz w:val="28"/>
                <w:szCs w:val="28"/>
                <w:highlight w:val="none"/>
                <w:lang w:val="en-US" w:eastAsia="zh-CN" w:bidi="ar-SA"/>
              </w:rPr>
              <w:t>备注：江宁区范围内集体土地被征收的，不分地类、区片，按照统一标准拨付给被征地农村集体经济组织所在街道办事处（镇人民政府），实行专户管理，在街道（镇）范围内统筹调剂，多不退、少不补。街道办事处（镇人民政府）应当根据房屋以外的其他地上附着物和青苗的种类、数量、规格等实际情况，在具体类别补偿指导价基础上与所有权人协商，据实补偿。</w:t>
            </w:r>
          </w:p>
        </w:tc>
      </w:tr>
    </w:tbl>
    <w:p>
      <w:pPr>
        <w:numPr>
          <w:ilvl w:val="0"/>
          <w:numId w:val="0"/>
        </w:num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表2-2至表2-11为房屋以外的其他地上附着物和青苗具体类别及补偿指导价格，作为被征地集体经济组织与其他地上附着物和青苗所有权人确定具体补偿价格的参考依据，协商确定的具体补偿价格包含在房屋以外的其他地上附着物和青苗补偿费用中。</w:t>
      </w: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表2-2 具体类别（品种）及指导价格</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365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9" w:type="pct"/>
            <w:tcBorders>
              <w:top w:val="nil"/>
              <w:left w:val="nil"/>
              <w:right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978" w:type="pct"/>
            <w:tcBorders>
              <w:top w:val="nil"/>
              <w:left w:val="nil"/>
              <w:right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51" w:type="pct"/>
            <w:tcBorders>
              <w:top w:val="nil"/>
              <w:left w:val="nil"/>
              <w:right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right"/>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highlight w:val="none"/>
                <w:lang w:val="en-US" w:eastAsia="zh-CN"/>
              </w:rPr>
              <w:t>单位：万元/公顷（万元/亩）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品种</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蔬菜</w:t>
            </w: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一般蔬菜</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水生蔬菜</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3.75（0.25）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粮油作物</w:t>
            </w: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水稻</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2.85（0.19）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麦类、玉米、山芋</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2.25（0.15）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豆类、芝麻、花生</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油菜</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1.95（0.13）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经济类作物</w:t>
            </w: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棉花、甜菜、麻类</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3.90（0.26)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甘蔗</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3.90（0.26)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西瓜、香瓜</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3.90（0.26)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草莓</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药材、香料</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4.50（0.30）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鱼类</w:t>
            </w: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精养鱼</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1978"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一般鱼</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3.00（0.20）</w:t>
            </w:r>
          </w:p>
        </w:tc>
      </w:tr>
    </w:tbl>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表2-3 菜地、精养鱼池附着物补偿指导价格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3817"/>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817"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896"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top"/>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单位：万元/公顷（万元/亩）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附着物</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连栋温室大棚（玻璃）</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据实评估或结合原投资适当补偿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温室大棚（钢架含膜）</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19.50（1.30）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温室大棚（竹架含膜）</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7.80（0.52）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喷灌设施</w:t>
            </w:r>
          </w:p>
        </w:tc>
        <w:tc>
          <w:tcPr>
            <w:tcW w:w="381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自动（含监测、传感系统、水肥一体机等设备）</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81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涵灌</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15.00（1.00）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81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微喷、滴喷系统</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7.50（0.50）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精养鱼池土方（包括开挖费、运输费等）</w:t>
            </w:r>
          </w:p>
        </w:tc>
        <w:tc>
          <w:tcPr>
            <w:tcW w:w="38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9.00（0.60）</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表2-4 用材、观赏树木补偿指导价格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0"/>
        <w:gridCol w:w="1540"/>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单位：元/株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用材树木</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胸径规格</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0-5厘米</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5-10厘米</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11-20厘米</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20厘米以上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补偿价格</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16-20</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28-45</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观赏树木</w:t>
            </w:r>
          </w:p>
        </w:tc>
        <w:tc>
          <w:tcPr>
            <w:tcW w:w="7702"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一般应予移植，并由建设单位支付移植费用；无法移植的，由建设单位收购。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备    注</w:t>
            </w:r>
          </w:p>
        </w:tc>
        <w:tc>
          <w:tcPr>
            <w:tcW w:w="7702"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1、如木材由建设单位回收，根据材积量，按市场销售价补偿；</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2、观赏苗木收购价格参照相关部门发布的、经发改部门认定的价格参考信息，数量应按园林管理部门确定的亩定植数计算，超出亩定植数的不予补偿。</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表2-5-1 经济林木补偿指导价格（一）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0"/>
        <w:gridCol w:w="1540"/>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方正仿宋简体" w:hAnsi="方正仿宋简体" w:eastAsia="方正仿宋简体" w:cs="方正仿宋简体"/>
                <w:sz w:val="24"/>
                <w:szCs w:val="24"/>
                <w:vertAlign w:val="baseline"/>
                <w:lang w:val="en-US" w:eastAsia="zh-CN"/>
              </w:rPr>
            </w:pPr>
          </w:p>
        </w:tc>
        <w:tc>
          <w:tcPr>
            <w:tcW w:w="3082" w:type="dxa"/>
            <w:gridSpan w:val="2"/>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单位：万元/公顷（万元/亩）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3080"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品种</w:t>
            </w:r>
          </w:p>
        </w:tc>
        <w:tc>
          <w:tcPr>
            <w:tcW w:w="46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8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一等</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二等</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茶桑竹类</w:t>
            </w:r>
          </w:p>
        </w:tc>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茶</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生长期</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3年生以上</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2-3年生</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2年生以下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18.00（1.20）</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10.50（0.70）</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5.85（0.39）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湖桑</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生长期</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5年生以上</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3-5年生</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2年生以下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7.20（0.48）</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6.30（0.42）</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5.40（0.36）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一般林地</w:t>
            </w:r>
          </w:p>
        </w:tc>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毛竹</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胸基围长</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40厘米以上</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21-39厘米</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20厘米以下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8.10（0.54）</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7.20（0.48）</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5.40（0.36）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刚竹、雅竹、淡竹、杂竹</w:t>
            </w:r>
          </w:p>
        </w:tc>
        <w:tc>
          <w:tcPr>
            <w:tcW w:w="46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3.60（0.24）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柴草类</w:t>
            </w:r>
          </w:p>
        </w:tc>
        <w:tc>
          <w:tcPr>
            <w:tcW w:w="30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芦柴</w:t>
            </w:r>
          </w:p>
        </w:tc>
        <w:tc>
          <w:tcPr>
            <w:tcW w:w="46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1.20（0.08）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8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山草山柴</w:t>
            </w:r>
          </w:p>
        </w:tc>
        <w:tc>
          <w:tcPr>
            <w:tcW w:w="46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0.90（0.06）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c>
          <w:tcPr>
            <w:tcW w:w="46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不论条、撒播，均以面积计算</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表2-5-</w:t>
      </w:r>
      <w:r>
        <w:rPr>
          <w:rFonts w:hint="eastAsia" w:ascii="方正小标宋简体" w:hAnsi="方正小标宋简体" w:eastAsia="方正小标宋简体" w:cs="方正小标宋简体"/>
          <w:sz w:val="32"/>
          <w:szCs w:val="32"/>
          <w:lang w:val="en-US" w:eastAsia="zh-CN"/>
        </w:rPr>
        <w:t>2</w:t>
      </w:r>
      <w:r>
        <w:rPr>
          <w:rFonts w:hint="default" w:ascii="方正小标宋简体" w:hAnsi="方正小标宋简体" w:eastAsia="方正小标宋简体" w:cs="方正小标宋简体"/>
          <w:sz w:val="32"/>
          <w:szCs w:val="32"/>
          <w:lang w:val="en-US" w:eastAsia="zh-CN"/>
        </w:rPr>
        <w:t xml:space="preserve"> 经济林木补偿指导价格（</w:t>
      </w:r>
      <w:r>
        <w:rPr>
          <w:rFonts w:hint="eastAsia" w:ascii="方正小标宋简体" w:hAnsi="方正小标宋简体" w:eastAsia="方正小标宋简体" w:cs="方正小标宋简体"/>
          <w:sz w:val="32"/>
          <w:szCs w:val="32"/>
          <w:lang w:val="en-US" w:eastAsia="zh-CN"/>
        </w:rPr>
        <w:t>二</w:t>
      </w:r>
      <w:r>
        <w:rPr>
          <w:rFonts w:hint="default" w:ascii="方正小标宋简体" w:hAnsi="方正小标宋简体" w:eastAsia="方正小标宋简体" w:cs="方正小标宋简体"/>
          <w:sz w:val="32"/>
          <w:szCs w:val="32"/>
          <w:lang w:val="en-US"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883"/>
        <w:gridCol w:w="1518"/>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83"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51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18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品种</w:t>
            </w:r>
          </w:p>
        </w:tc>
        <w:tc>
          <w:tcPr>
            <w:tcW w:w="614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83"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成熟期（株）</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生长期（株）</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树苗期（株）</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在床苗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果树类</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桃、杏、李、梨、桔、柿、樱桃、苹果、枇杷、枣、石榴</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300</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80</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6-10</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板栗、薄壳山核桃、山楂</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100-150</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40-65</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4-5</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葡萄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（家前屋后）</w:t>
            </w:r>
          </w:p>
        </w:tc>
        <w:tc>
          <w:tcPr>
            <w:tcW w:w="15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90</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72</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2-3</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葡萄园（亩）</w:t>
            </w:r>
          </w:p>
        </w:tc>
        <w:tc>
          <w:tcPr>
            <w:tcW w:w="614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7800-12000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c>
          <w:tcPr>
            <w:tcW w:w="8023"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1、成熟期、生长期的果树每亩不超过75株，未列品种</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可</w:t>
            </w:r>
            <w:r>
              <w:rPr>
                <w:rFonts w:hint="eastAsia" w:ascii="方正仿宋简体" w:hAnsi="方正仿宋简体" w:eastAsia="方正仿宋简体" w:cs="方正仿宋简体"/>
                <w:i w:val="0"/>
                <w:iCs w:val="0"/>
                <w:color w:val="000000"/>
                <w:kern w:val="0"/>
                <w:sz w:val="24"/>
                <w:szCs w:val="24"/>
                <w:u w:val="none"/>
                <w:lang w:val="en-US" w:eastAsia="zh-CN" w:bidi="ar"/>
              </w:rPr>
              <w:t>参照计算；</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2、葡萄园以亩计算，由被征地集体经济组织根据具体品种和成熟度与产权人协商补偿；水泥桩、天网、围网另行补偿。</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w:t>
      </w:r>
      <w:r>
        <w:rPr>
          <w:rFonts w:hint="eastAsia" w:ascii="方正小标宋简体" w:hAnsi="方正小标宋简体" w:eastAsia="方正小标宋简体" w:cs="方正小标宋简体"/>
          <w:sz w:val="32"/>
          <w:szCs w:val="32"/>
          <w:lang w:val="en-US" w:eastAsia="zh-CN"/>
        </w:rPr>
        <w:t>2-6</w:t>
      </w:r>
      <w:r>
        <w:rPr>
          <w:rFonts w:hint="default"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畜棚禽舍补偿指导价格</w:t>
      </w:r>
    </w:p>
    <w:p>
      <w:pPr>
        <w:numPr>
          <w:ilvl w:val="0"/>
          <w:numId w:val="0"/>
        </w:numPr>
        <w:jc w:val="center"/>
        <w:rPr>
          <w:rFonts w:hint="eastAsia" w:ascii="方正小标宋简体" w:hAnsi="方正小标宋简体" w:eastAsia="方正小标宋简体" w:cs="方正小标宋简体"/>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24"/>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p>
        </w:tc>
        <w:tc>
          <w:tcPr>
            <w:tcW w:w="2924"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p>
        </w:tc>
        <w:tc>
          <w:tcPr>
            <w:tcW w:w="231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p>
        </w:tc>
        <w:tc>
          <w:tcPr>
            <w:tcW w:w="2311"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292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全部砖墙</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部分砖墙</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c>
          <w:tcPr>
            <w:tcW w:w="292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200-250</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120-150</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c>
          <w:tcPr>
            <w:tcW w:w="754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1、小散户按照上述标准补偿，并根据实际情况适当浮动；具有《动物防疫条件合格证》、环评手续的规模猪场，按不低于建造成本价补偿；</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2、水泥地的按简易水泥地坪计算，一并补偿；</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3、怀孕母猪因搬家受影响的，每头补助400元，实际可根据孕龄等适当增加补助；奶牛因搬家影响产奶的，每头补助4000元；</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4、本标准不再结合成新。</w:t>
            </w:r>
          </w:p>
        </w:tc>
      </w:tr>
    </w:tbl>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表2-</w:t>
      </w:r>
      <w:r>
        <w:rPr>
          <w:rFonts w:hint="eastAsia" w:ascii="方正小标宋简体" w:hAnsi="方正小标宋简体" w:eastAsia="方正小标宋简体" w:cs="方正小标宋简体"/>
          <w:sz w:val="32"/>
          <w:szCs w:val="32"/>
          <w:lang w:val="en-US" w:eastAsia="zh-CN"/>
        </w:rPr>
        <w:t>7 水井补偿指导价格</w:t>
      </w:r>
    </w:p>
    <w:p>
      <w:pPr>
        <w:numPr>
          <w:ilvl w:val="0"/>
          <w:numId w:val="0"/>
        </w:numPr>
        <w:jc w:val="center"/>
        <w:rPr>
          <w:rFonts w:hint="eastAsia" w:ascii="方正小标宋简体" w:hAnsi="方正小标宋简体" w:eastAsia="方正小标宋简体" w:cs="方正小标宋简体"/>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847"/>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47"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4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4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sz w:val="24"/>
                <w:szCs w:val="24"/>
                <w:vertAlign w:val="baseline"/>
                <w:lang w:val="en-US" w:eastAsia="zh-CN"/>
              </w:rPr>
            </w:pPr>
          </w:p>
        </w:tc>
        <w:tc>
          <w:tcPr>
            <w:tcW w:w="184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单位：元/口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砌筑井</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水泥井</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土井</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机井、深水井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标准</w:t>
            </w:r>
          </w:p>
        </w:tc>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1000</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400</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200</w:t>
            </w:r>
          </w:p>
        </w:tc>
        <w:tc>
          <w:tcPr>
            <w:tcW w:w="184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据实评估或参照原投资补偿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说明</w:t>
            </w:r>
          </w:p>
        </w:tc>
        <w:tc>
          <w:tcPr>
            <w:tcW w:w="7391"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1、深度超过3米，每深1米在表中补偿标准基础上另加30%，补偿额最高不得超过3900元/口；</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2、有水泥台面另增补65元/口，有石料台面另增补100元/口；</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3、有电动水泵的，另增补200元/口；</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4、不能使用的废井，不予补偿；</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5、建设单位另装自来水设施或另建新井公用的，原井不予补偿。</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表2-</w:t>
      </w:r>
      <w:r>
        <w:rPr>
          <w:rFonts w:hint="eastAsia" w:ascii="方正小标宋简体" w:hAnsi="方正小标宋简体" w:eastAsia="方正小标宋简体" w:cs="方正小标宋简体"/>
          <w:sz w:val="32"/>
          <w:szCs w:val="32"/>
          <w:lang w:val="en-US" w:eastAsia="zh-CN"/>
        </w:rPr>
        <w:t>8</w:t>
      </w:r>
      <w:r>
        <w:rPr>
          <w:rFonts w:hint="default"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粪坑、石灰池、沙场补偿指导价格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511"/>
        <w:gridCol w:w="1540"/>
        <w:gridCol w:w="1540"/>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4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305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条石、水泥、砖砌嵌缝</w:t>
            </w:r>
          </w:p>
        </w:tc>
        <w:tc>
          <w:tcPr>
            <w:tcW w:w="308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土坑</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毛石坑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粪坑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（含化粪池）</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＞20平方米</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≤20平方米</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＞20平方米</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≤20平方米</w:t>
            </w:r>
          </w:p>
        </w:tc>
        <w:tc>
          <w:tcPr>
            <w:tcW w:w="15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240元/个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1350元/个</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825元/个</w:t>
            </w:r>
          </w:p>
        </w:tc>
        <w:tc>
          <w:tcPr>
            <w:tcW w:w="154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525元/个</w:t>
            </w:r>
          </w:p>
        </w:tc>
        <w:tc>
          <w:tcPr>
            <w:tcW w:w="154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180元/个</w:t>
            </w:r>
          </w:p>
        </w:tc>
        <w:tc>
          <w:tcPr>
            <w:tcW w:w="154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石灰池</w:t>
            </w:r>
          </w:p>
        </w:tc>
        <w:tc>
          <w:tcPr>
            <w:tcW w:w="305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砖、石砌筑</w:t>
            </w:r>
          </w:p>
        </w:tc>
        <w:tc>
          <w:tcPr>
            <w:tcW w:w="4622"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有石灰膏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5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105元/平方米</w:t>
            </w:r>
          </w:p>
        </w:tc>
        <w:tc>
          <w:tcPr>
            <w:tcW w:w="4622"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130元/平方米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沙场生产</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场地</w:t>
            </w:r>
          </w:p>
        </w:tc>
        <w:tc>
          <w:tcPr>
            <w:tcW w:w="7673"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可按市场的平均价格给予补偿</w:t>
            </w:r>
          </w:p>
        </w:tc>
      </w:tr>
    </w:tbl>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表2-9 散坟迁移补偿指导价格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8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08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单位：元/丘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类别</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双穴</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单穴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水泥坟</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1600</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土坟</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800</w:t>
            </w:r>
          </w:p>
        </w:tc>
        <w:tc>
          <w:tcPr>
            <w:tcW w:w="308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c>
          <w:tcPr>
            <w:tcW w:w="6162"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1、对于规定期限内完成坟墓迁移的，给予适当奖励；公告之日起一个月内完成墓穴迁移的，奖励1000元/座；公告之日一个月后至公告后三个月内完成墓穴迁移的，奖励500元/座；</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2、公告之日起三个月内完成墓穴迁移并采取骨灰存放纪念堂、骨灰撒江等非占地安葬方式的，另奖励1000元/座；</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3、逾期未迁移的墓穴，将作为无主墓穴，作深埋或代迁处置；</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4、涉及公墓迁移的，按民政部门相关规定补偿。</w:t>
            </w:r>
          </w:p>
        </w:tc>
      </w:tr>
    </w:tbl>
    <w:p>
      <w:pPr>
        <w:numPr>
          <w:ilvl w:val="0"/>
          <w:numId w:val="0"/>
        </w:numPr>
        <w:jc w:val="center"/>
        <w:rPr>
          <w:rFonts w:hint="eastAsia"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表2-</w:t>
      </w:r>
      <w:r>
        <w:rPr>
          <w:rFonts w:hint="eastAsia" w:ascii="方正小标宋简体" w:hAnsi="方正小标宋简体" w:eastAsia="方正小标宋简体" w:cs="方正小标宋简体"/>
          <w:sz w:val="32"/>
          <w:szCs w:val="32"/>
          <w:lang w:val="en-US" w:eastAsia="zh-CN"/>
        </w:rPr>
        <w:t>10</w:t>
      </w:r>
      <w:r>
        <w:rPr>
          <w:rFonts w:hint="default"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桥梁、沟渠等农村集体公共设施补偿</w:t>
      </w:r>
      <w:r>
        <w:rPr>
          <w:rFonts w:hint="default" w:ascii="方正小标宋简体" w:hAnsi="方正小标宋简体" w:eastAsia="方正小标宋简体" w:cs="方正小标宋简体"/>
          <w:sz w:val="32"/>
          <w:szCs w:val="32"/>
          <w:lang w:val="en-US" w:eastAsia="zh-CN"/>
        </w:rPr>
        <w:t>指导价格</w:t>
      </w:r>
    </w:p>
    <w:p>
      <w:pPr>
        <w:numPr>
          <w:ilvl w:val="0"/>
          <w:numId w:val="0"/>
        </w:numPr>
        <w:jc w:val="center"/>
        <w:rPr>
          <w:rFonts w:hint="default" w:ascii="方正小标宋简体" w:hAnsi="方正小标宋简体" w:eastAsia="方正小标宋简体" w:cs="方正小标宋简体"/>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项目</w:t>
            </w: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规格</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水泥桥</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1950元/平方米</w:t>
            </w:r>
          </w:p>
        </w:tc>
        <w:tc>
          <w:tcPr>
            <w:tcW w:w="23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按桥面面积结合成新率补偿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砖桥</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1575元/平方米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简易水泥板桥</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600元/平方米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人行道板</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85元/平方米</w:t>
            </w:r>
          </w:p>
        </w:tc>
        <w:tc>
          <w:tcPr>
            <w:tcW w:w="23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结合成新补偿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水泥渠</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98元/立方米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混凝土储水池</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240元/平方米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标准垃圾池</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640元/个</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农田小型灌溉涵闸</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600元/立方米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片石护坡</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260元/立方米</w:t>
            </w:r>
          </w:p>
        </w:tc>
        <w:tc>
          <w:tcPr>
            <w:tcW w:w="2311"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水泥下水道</w:t>
            </w:r>
          </w:p>
        </w:tc>
        <w:tc>
          <w:tcPr>
            <w:tcW w:w="23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45元/米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下水涵管</w:t>
            </w: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直径0.2米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45元/米</w:t>
            </w:r>
          </w:p>
        </w:tc>
        <w:tc>
          <w:tcPr>
            <w:tcW w:w="23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含土方开挖、涵管安装、土方回填等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直径0.3米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78元/米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直径0.6米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158元/米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直径0.7米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165元/米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直径0.8米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195元/米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直径1米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345元/米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3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直径1.8米</w:t>
            </w:r>
          </w:p>
        </w:tc>
        <w:tc>
          <w:tcPr>
            <w:tcW w:w="2311"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975元/米</w:t>
            </w:r>
          </w:p>
        </w:tc>
        <w:tc>
          <w:tcPr>
            <w:tcW w:w="231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表2-1</w:t>
      </w:r>
      <w:r>
        <w:rPr>
          <w:rFonts w:hint="eastAsia" w:ascii="方正小标宋简体" w:hAnsi="方正小标宋简体" w:eastAsia="方正小标宋简体" w:cs="方正小标宋简体"/>
          <w:sz w:val="32"/>
          <w:szCs w:val="32"/>
          <w:lang w:val="en-US" w:eastAsia="zh-CN"/>
        </w:rPr>
        <w:t>1</w:t>
      </w:r>
      <w:r>
        <w:rPr>
          <w:rFonts w:hint="default"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水、电等农村集体公共设备</w:t>
      </w:r>
      <w:r>
        <w:rPr>
          <w:rFonts w:hint="default" w:ascii="方正小标宋简体" w:hAnsi="方正小标宋简体" w:eastAsia="方正小标宋简体" w:cs="方正小标宋简体"/>
          <w:sz w:val="32"/>
          <w:szCs w:val="32"/>
          <w:lang w:val="en-US" w:eastAsia="zh-CN"/>
        </w:rPr>
        <w:t>补偿指导价格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783"/>
        <w:gridCol w:w="1567"/>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项目</w:t>
            </w: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规格</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企业动力电、水增容</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按现行行业标准补偿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配电柜</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据实评估或参照原投资补偿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27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电线杆</w:t>
            </w: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10米</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1300元/根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8米</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1050元/根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w:t>
            </w: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6米</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780元/根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方杆</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动力线</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6-12元/米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照明线</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3.5元/米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9</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传统路灯</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450元/盏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太阳能LED路灯</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800-2000元/盏</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（根据功率和高度补偿）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c>
          <w:tcPr>
            <w:tcW w:w="278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灯箱</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160元/盏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c>
          <w:tcPr>
            <w:tcW w:w="27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铸铁自来水管</w:t>
            </w: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8寸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105元/米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6寸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78元/米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52元/米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35元/米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1.5寸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30元/米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c>
          <w:tcPr>
            <w:tcW w:w="27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镀锌自来水管</w:t>
            </w: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1寸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40元/米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0.6寸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25元/米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278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简体" w:hAnsi="方正仿宋简体" w:eastAsia="方正仿宋简体" w:cs="方正仿宋简体"/>
                <w:sz w:val="24"/>
                <w:szCs w:val="24"/>
                <w:vertAlign w:val="baseline"/>
                <w:lang w:val="en-US" w:eastAsia="zh-CN"/>
              </w:rPr>
            </w:pPr>
          </w:p>
        </w:tc>
        <w:tc>
          <w:tcPr>
            <w:tcW w:w="15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0.4寸</w:t>
            </w:r>
          </w:p>
        </w:tc>
        <w:tc>
          <w:tcPr>
            <w:tcW w:w="397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bidi="ar"/>
              </w:rPr>
              <w:t>21元/米</w:t>
            </w:r>
          </w:p>
        </w:tc>
      </w:tr>
    </w:tbl>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center"/>
        <w:rPr>
          <w:rFonts w:hint="default" w:ascii="方正小标宋简体" w:hAnsi="方正小标宋简体" w:eastAsia="方正小标宋简体" w:cs="方正小标宋简体"/>
          <w:sz w:val="32"/>
          <w:szCs w:val="32"/>
          <w:lang w:val="en-US" w:eastAsia="zh-CN"/>
        </w:rPr>
      </w:pPr>
    </w:p>
    <w:p>
      <w:pPr>
        <w:numPr>
          <w:ilvl w:val="0"/>
          <w:numId w:val="0"/>
        </w:numPr>
        <w:jc w:val="left"/>
        <w:rPr>
          <w:rFonts w:hint="default" w:ascii="方正小标宋简体" w:hAnsi="方正小标宋简体" w:eastAsia="方正小标宋简体" w:cs="方正小标宋简体"/>
          <w:sz w:val="32"/>
          <w:szCs w:val="32"/>
          <w:lang w:val="en-US" w:eastAsia="zh-CN"/>
        </w:rPr>
      </w:pPr>
    </w:p>
    <w:sectPr>
      <w:pgSz w:w="11906" w:h="16838"/>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79CB"/>
    <w:rsid w:val="02BA7975"/>
    <w:rsid w:val="041B55AE"/>
    <w:rsid w:val="06CE5360"/>
    <w:rsid w:val="0A2E3160"/>
    <w:rsid w:val="0B6F21B5"/>
    <w:rsid w:val="0D4E0CE0"/>
    <w:rsid w:val="0F6D5739"/>
    <w:rsid w:val="1696271D"/>
    <w:rsid w:val="183F2162"/>
    <w:rsid w:val="1C653DB2"/>
    <w:rsid w:val="1D4F47B9"/>
    <w:rsid w:val="1FFE0EB3"/>
    <w:rsid w:val="201F2320"/>
    <w:rsid w:val="233814FA"/>
    <w:rsid w:val="24C8687D"/>
    <w:rsid w:val="26303BE7"/>
    <w:rsid w:val="263D5FA3"/>
    <w:rsid w:val="26FE5103"/>
    <w:rsid w:val="275B28C6"/>
    <w:rsid w:val="295856E1"/>
    <w:rsid w:val="2BB35BD9"/>
    <w:rsid w:val="2E953863"/>
    <w:rsid w:val="30587118"/>
    <w:rsid w:val="35CF411B"/>
    <w:rsid w:val="39184F8F"/>
    <w:rsid w:val="3BBA6442"/>
    <w:rsid w:val="3C081E22"/>
    <w:rsid w:val="3DE5742A"/>
    <w:rsid w:val="3EAC757E"/>
    <w:rsid w:val="410709E2"/>
    <w:rsid w:val="411F45DF"/>
    <w:rsid w:val="485819EB"/>
    <w:rsid w:val="48FB32B5"/>
    <w:rsid w:val="4BAC50FB"/>
    <w:rsid w:val="4CF924DD"/>
    <w:rsid w:val="4F9E50C1"/>
    <w:rsid w:val="514D5727"/>
    <w:rsid w:val="53DE2F6F"/>
    <w:rsid w:val="544D7DE6"/>
    <w:rsid w:val="56853EA3"/>
    <w:rsid w:val="56AF61FC"/>
    <w:rsid w:val="5B4416A2"/>
    <w:rsid w:val="63495853"/>
    <w:rsid w:val="667C4CB5"/>
    <w:rsid w:val="67857BD1"/>
    <w:rsid w:val="68930873"/>
    <w:rsid w:val="6A5954FB"/>
    <w:rsid w:val="728B5E2F"/>
    <w:rsid w:val="76E36FDF"/>
    <w:rsid w:val="77171446"/>
    <w:rsid w:val="77885DCB"/>
    <w:rsid w:val="79D049DB"/>
    <w:rsid w:val="7BB44293"/>
    <w:rsid w:val="7DFC18D7"/>
    <w:rsid w:val="7EFA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2023-12-18T05:07:00Z</dcterms:created>
  <dc:creator>JSZX9005</dc:creator>
  <cp:lastModifiedBy>NTKO</cp:lastModifiedBy>
  <dcterms:modified xsi:type="dcterms:W3CDTF">2024-07-05T09:45:53Z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FFB40642BB9F4AFBA4EC8E5A3B763771</vt:lpwstr>
  </property>
</Properties>
</file>