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D85BA">
      <w:pPr>
        <w:snapToGrid/>
        <w:spacing w:line="240" w:lineRule="auto"/>
        <w:jc w:val="left"/>
        <w:textAlignment w:val="auto"/>
      </w:pPr>
      <w:bookmarkStart w:id="0" w:name="_GoBack"/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shd w:val="clear"/>
          <w:lang w:eastAsia="zh-CN"/>
        </w:rPr>
        <w:t>附件</w:t>
      </w: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shd w:val="clear"/>
          <w:lang w:val="en-US" w:eastAsia="zh-CN"/>
        </w:rPr>
        <w:t>2</w:t>
      </w:r>
    </w:p>
    <w:bookmarkEnd w:id="0"/>
    <w:p w14:paraId="3AD46B97">
      <w:pPr>
        <w:pStyle w:val="11"/>
        <w:autoSpaceDE w:val="0"/>
        <w:autoSpaceDN w:val="0"/>
        <w:snapToGrid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</w:rPr>
        <w:t>2025年度省高价值专利培育项目申报指南</w:t>
      </w:r>
    </w:p>
    <w:p w14:paraId="4BDD1792">
      <w:pPr>
        <w:tabs>
          <w:tab w:val="left" w:pos="3273"/>
        </w:tabs>
        <w:adjustRightInd w:val="0"/>
        <w:snapToGrid w:val="0"/>
        <w:spacing w:line="570" w:lineRule="exact"/>
        <w:rPr>
          <w:rFonts w:ascii="宋体" w:hAnsi="宋体" w:eastAsia="方正黑体_GBK"/>
          <w:color w:val="auto"/>
          <w:kern w:val="0"/>
          <w:sz w:val="32"/>
          <w:szCs w:val="32"/>
        </w:rPr>
      </w:pPr>
    </w:p>
    <w:p w14:paraId="07A490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24"/>
        <w:textAlignment w:val="auto"/>
        <w:rPr>
          <w:rFonts w:hint="eastAsia" w:ascii="方正黑体简体" w:hAnsi="方正黑体简体" w:eastAsia="方正黑体简体" w:cs="方正黑体简体"/>
          <w:snapToGrid w:val="0"/>
          <w:color w:val="auto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napToGrid w:val="0"/>
          <w:color w:val="auto"/>
          <w:sz w:val="32"/>
          <w:szCs w:val="32"/>
        </w:rPr>
        <w:t>一、支持重点</w:t>
      </w:r>
    </w:p>
    <w:p w14:paraId="09CC0788">
      <w:pPr>
        <w:pStyle w:val="12"/>
        <w:tabs>
          <w:tab w:val="left" w:pos="9193"/>
          <w:tab w:val="left" w:pos="9827"/>
        </w:tabs>
        <w:spacing w:line="570" w:lineRule="exact"/>
        <w:ind w:firstLine="640" w:firstLineChars="200"/>
        <w:jc w:val="both"/>
        <w:rPr>
          <w:rFonts w:hint="eastAsia" w:ascii="Times New Roman" w:hAnsi="Times New Roman" w:eastAsia="方正仿宋简体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snapToGrid/>
          <w:color w:val="000000"/>
          <w:kern w:val="2"/>
          <w:sz w:val="32"/>
          <w:szCs w:val="32"/>
          <w:lang w:val="en-US" w:eastAsia="zh-CN" w:bidi="ar-SA"/>
        </w:rPr>
        <w:t>江苏省战略性新兴产业、未来产业、1650产业体系有关创新主体。优先支持产业链链主企业、国家专精特新“小巨人”企业、国家制造业单项冠军企业、国家知识产权示范企业以及我省重点扶持的重大创新载体。</w:t>
      </w:r>
    </w:p>
    <w:p w14:paraId="46B98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24"/>
        <w:textAlignment w:val="auto"/>
        <w:rPr>
          <w:rFonts w:hint="eastAsia" w:ascii="方正黑体简体" w:hAnsi="方正黑体简体" w:eastAsia="方正黑体简体" w:cs="方正黑体简体"/>
          <w:snapToGrid w:val="0"/>
          <w:color w:val="auto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napToGrid w:val="0"/>
          <w:color w:val="auto"/>
          <w:sz w:val="32"/>
          <w:szCs w:val="32"/>
        </w:rPr>
        <w:t>二、申报主体</w:t>
      </w:r>
    </w:p>
    <w:p w14:paraId="257B246E">
      <w:pPr>
        <w:pStyle w:val="12"/>
        <w:tabs>
          <w:tab w:val="left" w:pos="9193"/>
          <w:tab w:val="left" w:pos="9827"/>
        </w:tabs>
        <w:spacing w:line="570" w:lineRule="exact"/>
        <w:ind w:firstLine="640" w:firstLineChars="200"/>
        <w:jc w:val="both"/>
        <w:rPr>
          <w:rFonts w:hint="eastAsia" w:ascii="Times New Roman" w:hAnsi="Times New Roman" w:eastAsia="方正仿宋简体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snapToGrid/>
          <w:color w:val="000000"/>
          <w:kern w:val="2"/>
          <w:sz w:val="32"/>
          <w:szCs w:val="32"/>
          <w:lang w:val="en-US" w:eastAsia="zh-CN" w:bidi="ar-SA"/>
        </w:rPr>
        <w:t>江苏省具有独立法人资格的企业、高校、科研机构、新型研发机构。鼓励前述主体与产业链上下游企业、产学研合作单位、知识产权服务机构联合申报。</w:t>
      </w:r>
    </w:p>
    <w:p w14:paraId="2663FD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24"/>
        <w:textAlignment w:val="auto"/>
        <w:rPr>
          <w:rFonts w:hint="eastAsia" w:ascii="方正黑体简体" w:hAnsi="方正黑体简体" w:eastAsia="方正黑体简体" w:cs="方正黑体简体"/>
          <w:snapToGrid w:val="0"/>
          <w:color w:val="auto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napToGrid w:val="0"/>
          <w:color w:val="auto"/>
          <w:sz w:val="32"/>
          <w:szCs w:val="32"/>
        </w:rPr>
        <w:t>三、申报条件</w:t>
      </w:r>
    </w:p>
    <w:p w14:paraId="6F02492B">
      <w:pPr>
        <w:pStyle w:val="12"/>
        <w:tabs>
          <w:tab w:val="left" w:pos="9193"/>
          <w:tab w:val="left" w:pos="9827"/>
        </w:tabs>
        <w:spacing w:line="570" w:lineRule="exact"/>
        <w:ind w:firstLine="640" w:firstLineChars="200"/>
        <w:jc w:val="both"/>
        <w:rPr>
          <w:rFonts w:hint="eastAsia" w:ascii="Times New Roman" w:hAnsi="Times New Roman" w:eastAsia="方正仿宋简体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snapToGrid/>
          <w:color w:val="000000"/>
          <w:kern w:val="2"/>
          <w:sz w:val="32"/>
          <w:szCs w:val="32"/>
          <w:lang w:val="en-US" w:eastAsia="zh-CN" w:bidi="ar-SA"/>
        </w:rPr>
        <w:t>（一）申报主体是企业的，应满足以下条件：</w:t>
      </w:r>
    </w:p>
    <w:p w14:paraId="025133CC">
      <w:pPr>
        <w:pStyle w:val="12"/>
        <w:tabs>
          <w:tab w:val="left" w:pos="9193"/>
          <w:tab w:val="left" w:pos="9827"/>
        </w:tabs>
        <w:spacing w:line="570" w:lineRule="exact"/>
        <w:ind w:firstLine="640" w:firstLineChars="200"/>
        <w:jc w:val="both"/>
        <w:rPr>
          <w:rFonts w:hint="eastAsia" w:ascii="Times New Roman" w:hAnsi="Times New Roman" w:eastAsia="方正仿宋简体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snapToGrid/>
          <w:color w:val="000000"/>
          <w:kern w:val="2"/>
          <w:sz w:val="32"/>
          <w:szCs w:val="32"/>
          <w:lang w:val="en-US" w:eastAsia="zh-CN" w:bidi="ar-SA"/>
        </w:rPr>
        <w:t>1.具有良好的研发基础和研发能力。在所申报的技术领域研发水平处于行业领先地位，正在承担国家或省部级重大科技攻关项目，或者正在开展关键核心技术研发，并已取得一定成果。有充足的研发经费投入，近三年研发费用占销售总额的比例达到以下要求：最近一年销售收入在2亿元及以下的，比例不低于4%；最近一年销售收入高于2亿元的，比例不低于3%。</w:t>
      </w:r>
    </w:p>
    <w:p w14:paraId="4AC25B66">
      <w:pPr>
        <w:pStyle w:val="12"/>
        <w:tabs>
          <w:tab w:val="left" w:pos="9193"/>
          <w:tab w:val="left" w:pos="9827"/>
        </w:tabs>
        <w:spacing w:line="570" w:lineRule="exact"/>
        <w:ind w:firstLine="640" w:firstLineChars="200"/>
        <w:jc w:val="both"/>
        <w:rPr>
          <w:rFonts w:hint="eastAsia" w:ascii="Times New Roman" w:hAnsi="Times New Roman" w:eastAsia="方正仿宋简体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snapToGrid/>
          <w:color w:val="000000"/>
          <w:kern w:val="2"/>
          <w:sz w:val="32"/>
          <w:szCs w:val="32"/>
          <w:lang w:val="en-US" w:eastAsia="zh-CN" w:bidi="ar-SA"/>
        </w:rPr>
        <w:t>2.具有良好的知识产权工作基础。达到企业知识产权管理规范国家标准，知识产权管理制度比较健全，有相对独立的知识产权管理机构，知识产权专兼职人员不少于3人。知识产权工作经费充足，上一年度知识产权费用占研发费用的比例达到以下要求：研发费用在3000万元及以下的，比例不低于5%；研发费用高于3000万元，比例不低于4%。有稳定的专利产出，企业有效专利数量不少于50件，或有效发明专利数量不少于25件（国境外授权专利可按1:2抵算有效发明专利数，本企业必须是专利权人之一）。至少备案一件专利产品。</w:t>
      </w:r>
    </w:p>
    <w:p w14:paraId="3C44FA8D">
      <w:pPr>
        <w:pStyle w:val="12"/>
        <w:tabs>
          <w:tab w:val="left" w:pos="9193"/>
          <w:tab w:val="left" w:pos="9827"/>
        </w:tabs>
        <w:spacing w:line="570" w:lineRule="exact"/>
        <w:ind w:firstLine="640" w:firstLineChars="200"/>
        <w:jc w:val="both"/>
        <w:rPr>
          <w:rFonts w:hint="eastAsia" w:ascii="Times New Roman" w:hAnsi="Times New Roman" w:eastAsia="方正仿宋简体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snapToGrid/>
          <w:color w:val="000000"/>
          <w:kern w:val="2"/>
          <w:sz w:val="32"/>
          <w:szCs w:val="32"/>
          <w:lang w:val="en-US" w:eastAsia="zh-CN" w:bidi="ar-SA"/>
        </w:rPr>
        <w:t>3.企业经营状况良好，无严重失信行为，无非正常专利申请行为（以国家知识产权局通报为准）。</w:t>
      </w:r>
    </w:p>
    <w:p w14:paraId="6C49E6B9">
      <w:pPr>
        <w:pStyle w:val="12"/>
        <w:tabs>
          <w:tab w:val="left" w:pos="9193"/>
          <w:tab w:val="left" w:pos="9827"/>
        </w:tabs>
        <w:spacing w:line="570" w:lineRule="exact"/>
        <w:ind w:firstLine="640" w:firstLineChars="200"/>
        <w:jc w:val="both"/>
        <w:rPr>
          <w:rFonts w:hint="eastAsia" w:ascii="Times New Roman" w:hAnsi="Times New Roman" w:eastAsia="方正仿宋简体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snapToGrid/>
          <w:color w:val="000000"/>
          <w:kern w:val="2"/>
          <w:sz w:val="32"/>
          <w:szCs w:val="32"/>
          <w:lang w:val="en-US" w:eastAsia="zh-CN" w:bidi="ar-SA"/>
        </w:rPr>
        <w:t>（二）申报主体是高校、科研机构、新型研发机构的，应满足以下条件：</w:t>
      </w:r>
    </w:p>
    <w:p w14:paraId="62C1B360">
      <w:pPr>
        <w:pStyle w:val="12"/>
        <w:tabs>
          <w:tab w:val="left" w:pos="9193"/>
          <w:tab w:val="left" w:pos="9827"/>
        </w:tabs>
        <w:spacing w:line="570" w:lineRule="exact"/>
        <w:ind w:firstLine="640" w:firstLineChars="200"/>
        <w:jc w:val="both"/>
        <w:rPr>
          <w:rFonts w:hint="eastAsia" w:ascii="Times New Roman" w:hAnsi="Times New Roman" w:eastAsia="方正仿宋简体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snapToGrid/>
          <w:color w:val="000000"/>
          <w:kern w:val="2"/>
          <w:sz w:val="32"/>
          <w:szCs w:val="32"/>
          <w:lang w:val="en-US" w:eastAsia="zh-CN" w:bidi="ar-SA"/>
        </w:rPr>
        <w:t>1.具有良好的研发基础和研发能力。在所申报的技术领域研发水平处于国际领先，拥有与该领域相关的国家或省重点实验室、工程实验室或工程（技术）研究中心等研发平台（新型研发机构不受此限制），正在承担国家或省部级重大科技攻关项目，或者正在开展关键核心技术研发，且已建立产学研合作机制，并取得一定成果。有稳定充足的研发经费和知识产权经费投入。</w:t>
      </w:r>
    </w:p>
    <w:p w14:paraId="1B32EEB2">
      <w:pPr>
        <w:pStyle w:val="12"/>
        <w:tabs>
          <w:tab w:val="left" w:pos="9193"/>
          <w:tab w:val="left" w:pos="9827"/>
        </w:tabs>
        <w:spacing w:line="570" w:lineRule="exact"/>
        <w:ind w:firstLine="640" w:firstLineChars="200"/>
        <w:jc w:val="both"/>
        <w:rPr>
          <w:rFonts w:hint="eastAsia" w:ascii="Times New Roman" w:hAnsi="Times New Roman" w:eastAsia="方正仿宋简体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snapToGrid/>
          <w:color w:val="000000"/>
          <w:kern w:val="2"/>
          <w:sz w:val="32"/>
          <w:szCs w:val="32"/>
          <w:lang w:val="en-US" w:eastAsia="zh-CN" w:bidi="ar-SA"/>
        </w:rPr>
        <w:t>2.具有良好的知识产权工作基础。知识产权管理制度比较健全，知识产权专兼职管理人员不少于3人。在相关技术领域拥有有效专利数量不少于50件，或有效发明专利数量不少于25件（国境外授权专利可按1:2抵算有效发明专利数），运行时间不足三年的国家实验室可放宽专利数量要求。</w:t>
      </w:r>
    </w:p>
    <w:p w14:paraId="45EF39BF">
      <w:pPr>
        <w:pStyle w:val="12"/>
        <w:tabs>
          <w:tab w:val="left" w:pos="9193"/>
          <w:tab w:val="left" w:pos="9827"/>
        </w:tabs>
        <w:spacing w:line="570" w:lineRule="exact"/>
        <w:ind w:firstLine="640" w:firstLineChars="200"/>
        <w:jc w:val="both"/>
        <w:rPr>
          <w:rFonts w:hint="eastAsia" w:ascii="Times New Roman" w:hAnsi="Times New Roman" w:eastAsia="方正仿宋简体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snapToGrid/>
          <w:color w:val="000000"/>
          <w:kern w:val="2"/>
          <w:sz w:val="32"/>
          <w:szCs w:val="32"/>
          <w:lang w:val="en-US" w:eastAsia="zh-CN" w:bidi="ar-SA"/>
        </w:rPr>
        <w:t>3.无严重失信行为，无非正常专利申请行为（以国家知识产权局通报为准）。</w:t>
      </w:r>
    </w:p>
    <w:p w14:paraId="4C2F16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24"/>
        <w:textAlignment w:val="auto"/>
        <w:rPr>
          <w:rFonts w:hint="eastAsia" w:ascii="方正黑体简体" w:hAnsi="方正黑体简体" w:eastAsia="方正黑体简体" w:cs="方正黑体简体"/>
          <w:snapToGrid w:val="0"/>
          <w:color w:val="auto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napToGrid w:val="0"/>
          <w:color w:val="auto"/>
          <w:sz w:val="32"/>
          <w:szCs w:val="32"/>
        </w:rPr>
        <w:t>四、项目任务和绩效目标</w:t>
      </w:r>
    </w:p>
    <w:p w14:paraId="4C13AD20">
      <w:pPr>
        <w:pStyle w:val="12"/>
        <w:tabs>
          <w:tab w:val="left" w:pos="9193"/>
          <w:tab w:val="left" w:pos="9827"/>
        </w:tabs>
        <w:spacing w:line="570" w:lineRule="exact"/>
        <w:ind w:firstLine="640" w:firstLineChars="200"/>
        <w:jc w:val="both"/>
        <w:rPr>
          <w:rFonts w:hint="eastAsia" w:ascii="Times New Roman" w:hAnsi="Times New Roman" w:eastAsia="方正仿宋简体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snapToGrid/>
          <w:color w:val="000000"/>
          <w:kern w:val="2"/>
          <w:sz w:val="32"/>
          <w:szCs w:val="32"/>
          <w:lang w:val="en-US" w:eastAsia="zh-CN" w:bidi="ar-SA"/>
        </w:rPr>
        <w:t>（一）项目任务</w:t>
      </w:r>
    </w:p>
    <w:p w14:paraId="778D962E">
      <w:pPr>
        <w:pStyle w:val="12"/>
        <w:tabs>
          <w:tab w:val="left" w:pos="9193"/>
          <w:tab w:val="left" w:pos="9827"/>
        </w:tabs>
        <w:spacing w:line="570" w:lineRule="exact"/>
        <w:ind w:firstLine="640" w:firstLineChars="200"/>
        <w:jc w:val="both"/>
        <w:rPr>
          <w:rFonts w:hint="eastAsia" w:ascii="Times New Roman" w:hAnsi="Times New Roman" w:eastAsia="方正仿宋简体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snapToGrid/>
          <w:color w:val="000000"/>
          <w:kern w:val="2"/>
          <w:sz w:val="32"/>
          <w:szCs w:val="32"/>
          <w:lang w:val="en-US" w:eastAsia="zh-CN" w:bidi="ar-SA"/>
        </w:rPr>
        <w:t>1.建立完善高价值专利培育工作机制。组建高价值专利培育中心，完善组织架构，明确责任分工，加大经费投入，制定高价值专利培育工作方案。企业、科研机构、新型研发机构设知识产权总监，高校在研发团队中设知识产权专员。贯彻《创新管理-知识产权管理指南（ISO56005）》国际标准和《高价值专利培育工作规范（DB32T 4308-2022）》地方标准，建立健全产学研服深度合作、重大事项协商决策、专利导航等制度。面向经营管理、技术研发、市场营销等人员开展知识产权培训，培养具有知识产权专业能力的研发管理人才。</w:t>
      </w:r>
    </w:p>
    <w:p w14:paraId="7F9825AB">
      <w:pPr>
        <w:pStyle w:val="12"/>
        <w:tabs>
          <w:tab w:val="left" w:pos="9193"/>
          <w:tab w:val="left" w:pos="9827"/>
        </w:tabs>
        <w:spacing w:line="570" w:lineRule="exact"/>
        <w:ind w:firstLine="640" w:firstLineChars="200"/>
        <w:jc w:val="both"/>
        <w:rPr>
          <w:rFonts w:hint="eastAsia" w:ascii="Times New Roman" w:hAnsi="Times New Roman" w:eastAsia="方正仿宋简体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snapToGrid/>
          <w:color w:val="000000"/>
          <w:kern w:val="2"/>
          <w:sz w:val="32"/>
          <w:szCs w:val="32"/>
          <w:lang w:val="en-US" w:eastAsia="zh-CN" w:bidi="ar-SA"/>
        </w:rPr>
        <w:t>2.运用专利等信息提升研发效能。围绕本项目确定的技术领域，选择1-2个研发方向，建立研发全过程知识产权管理制度，按照《专利导航指南》国家标准开展专利导航，分析产业竞争态势，确立关键核心技术研发策略和路径，助力关键核心技术研发取得突破。建立专利专题数据库和信息化管理平台，为研发创新提供支持。</w:t>
      </w:r>
    </w:p>
    <w:p w14:paraId="70A56F34">
      <w:pPr>
        <w:pStyle w:val="12"/>
        <w:tabs>
          <w:tab w:val="left" w:pos="9193"/>
          <w:tab w:val="left" w:pos="9827"/>
        </w:tabs>
        <w:spacing w:line="570" w:lineRule="exact"/>
        <w:ind w:firstLine="640" w:firstLineChars="200"/>
        <w:jc w:val="both"/>
        <w:rPr>
          <w:rFonts w:hint="eastAsia" w:ascii="Times New Roman" w:hAnsi="Times New Roman" w:eastAsia="方正仿宋简体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snapToGrid/>
          <w:color w:val="000000"/>
          <w:kern w:val="2"/>
          <w:sz w:val="32"/>
          <w:szCs w:val="32"/>
          <w:lang w:val="en-US" w:eastAsia="zh-CN" w:bidi="ar-SA"/>
        </w:rPr>
        <w:t>3.开展专利申请和布局。围绕本项目确定的研发方向加强专利产出目标规划，完善创新成果识别和专利申请决策制度，制定专利布局方案，推动研发成果及时产权化。建立专利申请前置评审和专利质量管控制度，联合专利代理机构高质量撰写专利申请文件，合理确定专利保护范围。加强专利申请过程管理，提高电子申请率。落实财政资助科研项目形成专利的声明制度。</w:t>
      </w:r>
    </w:p>
    <w:p w14:paraId="07D2F0FE">
      <w:pPr>
        <w:pStyle w:val="12"/>
        <w:tabs>
          <w:tab w:val="left" w:pos="9193"/>
          <w:tab w:val="left" w:pos="9827"/>
        </w:tabs>
        <w:spacing w:line="570" w:lineRule="exact"/>
        <w:ind w:firstLine="640" w:firstLineChars="200"/>
        <w:jc w:val="both"/>
        <w:rPr>
          <w:rFonts w:hint="eastAsia" w:ascii="Times New Roman" w:hAnsi="Times New Roman" w:eastAsia="方正仿宋简体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snapToGrid/>
          <w:color w:val="000000"/>
          <w:kern w:val="2"/>
          <w:sz w:val="32"/>
          <w:szCs w:val="32"/>
          <w:lang w:val="en-US" w:eastAsia="zh-CN" w:bidi="ar-SA"/>
        </w:rPr>
        <w:t>4.强化专利运用和保护。</w:t>
      </w:r>
    </w:p>
    <w:p w14:paraId="432F6EA3">
      <w:pPr>
        <w:pStyle w:val="12"/>
        <w:tabs>
          <w:tab w:val="left" w:pos="9193"/>
          <w:tab w:val="left" w:pos="9827"/>
        </w:tabs>
        <w:spacing w:line="570" w:lineRule="exact"/>
        <w:ind w:firstLine="640" w:firstLineChars="200"/>
        <w:jc w:val="both"/>
        <w:rPr>
          <w:rFonts w:hint="eastAsia" w:ascii="Times New Roman" w:hAnsi="Times New Roman" w:eastAsia="方正仿宋简体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snapToGrid/>
          <w:color w:val="000000"/>
          <w:kern w:val="2"/>
          <w:sz w:val="32"/>
          <w:szCs w:val="32"/>
          <w:lang w:val="en-US" w:eastAsia="zh-CN" w:bidi="ar-SA"/>
        </w:rPr>
        <w:t>（1）企业建立专利分级分类管理制度，提升专利资产管理水平。推动专利产品化、产业化、标准化，开展专利密集型产品备案认定。积极申报省级以上专利奖、科学技术奖等奖项。建立专利风险研判和防控机制，组建或依托专业维权团队，积极应对专利纠纷，维护自身合法权益。</w:t>
      </w:r>
    </w:p>
    <w:p w14:paraId="29B4B125">
      <w:pPr>
        <w:pStyle w:val="12"/>
        <w:tabs>
          <w:tab w:val="left" w:pos="9193"/>
          <w:tab w:val="left" w:pos="9827"/>
        </w:tabs>
        <w:spacing w:line="570" w:lineRule="exact"/>
        <w:ind w:firstLine="640" w:firstLineChars="200"/>
        <w:jc w:val="both"/>
        <w:rPr>
          <w:rFonts w:hint="eastAsia" w:ascii="Times New Roman" w:hAnsi="Times New Roman" w:eastAsia="方正仿宋简体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snapToGrid/>
          <w:color w:val="000000"/>
          <w:kern w:val="2"/>
          <w:sz w:val="32"/>
          <w:szCs w:val="32"/>
          <w:lang w:val="en-US" w:eastAsia="zh-CN" w:bidi="ar-SA"/>
        </w:rPr>
        <w:t>（2）高校、科研机构、新型研发机构建立专利分级分类管理制度，完善专利转化运用机制，健全收益分配制度。发挥知识产权运营中心作用，面向企业、金融投资机构举办高价值专利成果推介会，通过转让、实施许可、作价入股等方式，推动专利价值实现，盘活专利资产。积极申报省级以上专利奖、科学技术奖等奖项。建立专利风险研判和防控机制，组建或依托专业维权团队，积极应对专利纠纷，维护自身合法权益。</w:t>
      </w:r>
    </w:p>
    <w:p w14:paraId="4E6D5F6F">
      <w:pPr>
        <w:pStyle w:val="12"/>
        <w:tabs>
          <w:tab w:val="left" w:pos="9193"/>
          <w:tab w:val="left" w:pos="9827"/>
        </w:tabs>
        <w:spacing w:line="570" w:lineRule="exact"/>
        <w:ind w:firstLine="640" w:firstLineChars="200"/>
        <w:jc w:val="both"/>
        <w:rPr>
          <w:rFonts w:hint="eastAsia" w:ascii="Times New Roman" w:hAnsi="Times New Roman" w:eastAsia="方正仿宋简体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snapToGrid/>
          <w:color w:val="000000"/>
          <w:kern w:val="2"/>
          <w:sz w:val="32"/>
          <w:szCs w:val="32"/>
          <w:lang w:val="en-US" w:eastAsia="zh-CN" w:bidi="ar-SA"/>
        </w:rPr>
        <w:t>5.发挥高价值专利培育示范效应。巩固和完善高价值专利培育机制，总结高价值专利培育的有效做法和经验，通过各类媒体宣传典型经验和工作成效。举办高价值专利培育示范现场会，牵头推动产业知识产权联盟建设。</w:t>
      </w:r>
    </w:p>
    <w:p w14:paraId="77EB1D36">
      <w:pPr>
        <w:pStyle w:val="12"/>
        <w:tabs>
          <w:tab w:val="left" w:pos="9193"/>
          <w:tab w:val="left" w:pos="9827"/>
        </w:tabs>
        <w:spacing w:line="570" w:lineRule="exact"/>
        <w:ind w:firstLine="640" w:firstLineChars="200"/>
        <w:jc w:val="both"/>
        <w:rPr>
          <w:rFonts w:hint="eastAsia" w:ascii="Times New Roman" w:hAnsi="Times New Roman" w:eastAsia="方正仿宋简体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snapToGrid/>
          <w:color w:val="000000"/>
          <w:kern w:val="2"/>
          <w:sz w:val="32"/>
          <w:szCs w:val="32"/>
          <w:lang w:val="en-US" w:eastAsia="zh-CN" w:bidi="ar-SA"/>
        </w:rPr>
        <w:t>（二）绩效目标</w:t>
      </w:r>
    </w:p>
    <w:p w14:paraId="1AC022A7">
      <w:pPr>
        <w:pStyle w:val="12"/>
        <w:tabs>
          <w:tab w:val="left" w:pos="9193"/>
          <w:tab w:val="left" w:pos="9827"/>
        </w:tabs>
        <w:spacing w:line="570" w:lineRule="exact"/>
        <w:ind w:firstLine="640" w:firstLineChars="200"/>
        <w:jc w:val="both"/>
        <w:rPr>
          <w:rFonts w:hint="eastAsia" w:ascii="Times New Roman" w:hAnsi="Times New Roman" w:eastAsia="方正仿宋简体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snapToGrid/>
          <w:color w:val="000000"/>
          <w:kern w:val="2"/>
          <w:sz w:val="32"/>
          <w:szCs w:val="32"/>
          <w:lang w:val="en-US" w:eastAsia="zh-CN" w:bidi="ar-SA"/>
        </w:rPr>
        <w:t>1.通过《高价值专利培育工作规范》地方标准贯标绩效评价并获得优秀等次。</w:t>
      </w:r>
    </w:p>
    <w:p w14:paraId="6AD41F56">
      <w:pPr>
        <w:pStyle w:val="12"/>
        <w:tabs>
          <w:tab w:val="left" w:pos="9193"/>
          <w:tab w:val="left" w:pos="9827"/>
        </w:tabs>
        <w:spacing w:line="570" w:lineRule="exact"/>
        <w:ind w:firstLine="640" w:firstLineChars="200"/>
        <w:jc w:val="both"/>
        <w:rPr>
          <w:rFonts w:hint="eastAsia" w:ascii="Times New Roman" w:hAnsi="Times New Roman" w:eastAsia="方正仿宋简体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snapToGrid/>
          <w:color w:val="000000"/>
          <w:kern w:val="2"/>
          <w:sz w:val="32"/>
          <w:szCs w:val="32"/>
          <w:lang w:val="en-US" w:eastAsia="zh-CN" w:bidi="ar-SA"/>
        </w:rPr>
        <w:t>2.实施期内，围绕本项目确定的技术领域和研发方向，形成一批权利稳定、布局合理、保护有力、经济社会效益明显的专利（申请）组合，且未出现非正常专利申请。</w:t>
      </w:r>
    </w:p>
    <w:p w14:paraId="3C8CA841">
      <w:pPr>
        <w:pStyle w:val="12"/>
        <w:tabs>
          <w:tab w:val="left" w:pos="9193"/>
          <w:tab w:val="left" w:pos="9827"/>
        </w:tabs>
        <w:spacing w:line="570" w:lineRule="exact"/>
        <w:ind w:firstLine="640" w:firstLineChars="200"/>
        <w:jc w:val="both"/>
        <w:rPr>
          <w:rFonts w:hint="eastAsia" w:ascii="Times New Roman" w:hAnsi="Times New Roman" w:eastAsia="方正仿宋简体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snapToGrid/>
          <w:color w:val="000000"/>
          <w:kern w:val="2"/>
          <w:sz w:val="32"/>
          <w:szCs w:val="32"/>
          <w:lang w:val="en-US" w:eastAsia="zh-CN" w:bidi="ar-SA"/>
        </w:rPr>
        <w:t>3.专利（含专利申请）产品化、产业化效果良好。企业专利转化运用率（包括自行实施、许可他人实施、转让、质押融资、作价入股等）不低于80%，相关产品市场占有率得到提升；高校、科研机构、新型研发机构专利转化运用率不低于30%。</w:t>
      </w:r>
    </w:p>
    <w:p w14:paraId="446E32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24"/>
        <w:textAlignment w:val="auto"/>
        <w:rPr>
          <w:rFonts w:hint="eastAsia" w:ascii="方正黑体简体" w:hAnsi="方正黑体简体" w:eastAsia="方正黑体简体" w:cs="方正黑体简体"/>
          <w:snapToGrid w:val="0"/>
          <w:color w:val="auto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napToGrid w:val="0"/>
          <w:color w:val="auto"/>
          <w:sz w:val="32"/>
          <w:szCs w:val="32"/>
        </w:rPr>
        <w:t>五、组织方式</w:t>
      </w:r>
    </w:p>
    <w:p w14:paraId="2274DA41">
      <w:pPr>
        <w:pStyle w:val="12"/>
        <w:tabs>
          <w:tab w:val="left" w:pos="9193"/>
          <w:tab w:val="left" w:pos="9827"/>
        </w:tabs>
        <w:spacing w:line="570" w:lineRule="exact"/>
        <w:ind w:firstLine="640" w:firstLineChars="200"/>
        <w:jc w:val="both"/>
        <w:rPr>
          <w:rFonts w:hint="eastAsia" w:ascii="Times New Roman" w:hAnsi="Times New Roman" w:eastAsia="方正仿宋简体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snapToGrid/>
          <w:color w:val="000000"/>
          <w:kern w:val="2"/>
          <w:sz w:val="32"/>
          <w:szCs w:val="32"/>
          <w:lang w:val="en-US" w:eastAsia="zh-CN" w:bidi="ar-SA"/>
        </w:rPr>
        <w:t>（一）申报单位根据要求准备申报材料，签订信用承诺书，按属地原则逐级上报。县（市、区）知识产权局具体负责辖区内项目的组织受理和材料审核工作，出具推荐意见，报送至设区市知识产权局，省部属高校院所可直接向设区市知识产权局报送；设区市知识产权局进行初审，严格把关，择优推荐，统一报送省知识产权局。</w:t>
      </w:r>
    </w:p>
    <w:p w14:paraId="3BEFA0FD">
      <w:pPr>
        <w:pStyle w:val="12"/>
        <w:tabs>
          <w:tab w:val="left" w:pos="9193"/>
          <w:tab w:val="left" w:pos="9827"/>
        </w:tabs>
        <w:spacing w:line="570" w:lineRule="exact"/>
        <w:ind w:firstLine="640" w:firstLineChars="200"/>
        <w:jc w:val="both"/>
        <w:rPr>
          <w:rFonts w:hint="eastAsia" w:ascii="Times New Roman" w:hAnsi="Times New Roman" w:eastAsia="方正仿宋简体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snapToGrid/>
          <w:color w:val="000000"/>
          <w:kern w:val="2"/>
          <w:sz w:val="32"/>
          <w:szCs w:val="32"/>
          <w:lang w:val="en-US" w:eastAsia="zh-CN" w:bidi="ar-SA"/>
        </w:rPr>
        <w:t>（二）省知识产权局组织评审，研究确定立项，会同省财政厅下达项目经费。</w:t>
      </w:r>
    </w:p>
    <w:p w14:paraId="4D440C90">
      <w:pPr>
        <w:pStyle w:val="12"/>
        <w:tabs>
          <w:tab w:val="left" w:pos="9193"/>
          <w:tab w:val="left" w:pos="9827"/>
        </w:tabs>
        <w:spacing w:line="570" w:lineRule="exact"/>
        <w:ind w:firstLine="640" w:firstLineChars="200"/>
        <w:jc w:val="both"/>
        <w:rPr>
          <w:rFonts w:hint="eastAsia" w:ascii="Times New Roman" w:hAnsi="Times New Roman" w:eastAsia="方正仿宋简体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snapToGrid/>
          <w:color w:val="000000"/>
          <w:kern w:val="2"/>
          <w:sz w:val="32"/>
          <w:szCs w:val="32"/>
          <w:lang w:val="en-US" w:eastAsia="zh-CN" w:bidi="ar-SA"/>
        </w:rPr>
        <w:t>（三）项目实施期限为3年，省知识产权局按有关规定组织中期检查和验收。</w:t>
      </w:r>
    </w:p>
    <w:p w14:paraId="0F4FBF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24"/>
        <w:textAlignment w:val="auto"/>
        <w:rPr>
          <w:rFonts w:hint="eastAsia" w:ascii="方正黑体简体" w:hAnsi="方正黑体简体" w:eastAsia="方正黑体简体" w:cs="方正黑体简体"/>
          <w:snapToGrid w:val="0"/>
          <w:color w:val="auto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napToGrid w:val="0"/>
          <w:color w:val="auto"/>
          <w:sz w:val="32"/>
          <w:szCs w:val="32"/>
        </w:rPr>
        <w:t>六、申报要求</w:t>
      </w:r>
    </w:p>
    <w:p w14:paraId="7408B2BB">
      <w:pPr>
        <w:pStyle w:val="12"/>
        <w:tabs>
          <w:tab w:val="left" w:pos="9193"/>
          <w:tab w:val="left" w:pos="9827"/>
        </w:tabs>
        <w:spacing w:line="570" w:lineRule="exact"/>
        <w:ind w:firstLine="640" w:firstLineChars="200"/>
        <w:jc w:val="both"/>
        <w:rPr>
          <w:rFonts w:hint="eastAsia" w:ascii="Times New Roman" w:hAnsi="Times New Roman" w:eastAsia="方正仿宋简体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snapToGrid/>
          <w:color w:val="000000"/>
          <w:kern w:val="2"/>
          <w:sz w:val="32"/>
          <w:szCs w:val="32"/>
          <w:lang w:val="en-US" w:eastAsia="zh-CN" w:bidi="ar-SA"/>
        </w:rPr>
        <w:t>（一）已作为牵头单位承担过省高价值专利培育计划项目的企业、科研机构、新型研发机构，不得申报本年度项目；已作为牵头单位承担过省高价值专利培育计划项目的高校，不得以同一学院或相同的学科领域方向再次作为牵头单位申报项目；正在承担其他省级知识产权计划项目（含尾款未拨付）的单位，不得申报本项目；正在承担市县级高价值专利培育计划项目的单位，不得以同一培育主题申报本项目。</w:t>
      </w:r>
    </w:p>
    <w:p w14:paraId="1F57382B">
      <w:pPr>
        <w:pStyle w:val="12"/>
        <w:tabs>
          <w:tab w:val="left" w:pos="9193"/>
          <w:tab w:val="left" w:pos="9827"/>
        </w:tabs>
        <w:spacing w:line="570" w:lineRule="exact"/>
        <w:ind w:firstLine="640" w:firstLineChars="200"/>
        <w:jc w:val="both"/>
        <w:rPr>
          <w:rFonts w:hint="eastAsia" w:ascii="Times New Roman" w:hAnsi="Times New Roman" w:eastAsia="方正仿宋简体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snapToGrid/>
          <w:color w:val="000000"/>
          <w:kern w:val="2"/>
          <w:sz w:val="32"/>
          <w:szCs w:val="32"/>
          <w:lang w:val="en-US" w:eastAsia="zh-CN" w:bidi="ar-SA"/>
        </w:rPr>
        <w:t>（二）2024年发明专利授权量超过10000件的设区市，推荐项目不超过4项，其余设区市推荐项目不超过3项。</w:t>
      </w:r>
    </w:p>
    <w:p w14:paraId="096CAE81">
      <w:pPr>
        <w:pStyle w:val="12"/>
        <w:tabs>
          <w:tab w:val="left" w:pos="9193"/>
          <w:tab w:val="left" w:pos="9827"/>
        </w:tabs>
        <w:spacing w:line="570" w:lineRule="exact"/>
        <w:ind w:firstLine="640" w:firstLineChars="200"/>
        <w:jc w:val="both"/>
        <w:rPr>
          <w:rFonts w:hint="eastAsia" w:ascii="Times New Roman" w:hAnsi="Times New Roman" w:eastAsia="方正仿宋简体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snapToGrid/>
          <w:color w:val="000000"/>
          <w:kern w:val="2"/>
          <w:sz w:val="32"/>
          <w:szCs w:val="32"/>
          <w:lang w:val="en-US" w:eastAsia="zh-CN" w:bidi="ar-SA"/>
        </w:rPr>
        <w:t>（三）申报材料应真实、准确、规范，如发现弄虚作假、侵犯他人知识产权等行为的，一经查实，将取消项目立项资格，并记入信用档案。各设区市、县（市、区）知识产权局要切实履行职责，对申报材料进行审查核对，确保内容真实可靠。</w:t>
      </w:r>
    </w:p>
    <w:p w14:paraId="2792DF56">
      <w:pPr>
        <w:pStyle w:val="12"/>
        <w:tabs>
          <w:tab w:val="left" w:pos="9193"/>
          <w:tab w:val="left" w:pos="9827"/>
        </w:tabs>
        <w:spacing w:line="570" w:lineRule="exact"/>
        <w:ind w:firstLine="640" w:firstLineChars="200"/>
        <w:jc w:val="both"/>
        <w:rPr>
          <w:rFonts w:hint="eastAsia" w:ascii="Times New Roman" w:hAnsi="Times New Roman" w:eastAsia="方正仿宋简体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snapToGrid/>
          <w:color w:val="000000"/>
          <w:kern w:val="2"/>
          <w:sz w:val="32"/>
          <w:szCs w:val="32"/>
          <w:lang w:val="en-US" w:eastAsia="zh-CN" w:bidi="ar-SA"/>
        </w:rPr>
        <w:t>（四）全面推行无纸化申报，申报单位登录“江苏省知识产权综合服务平台”（https://www.jsipp.cn），通过“一站式管理——申报与管理”提交项目申报材料，信用承诺书签字盖章扫描后，以附件形式上传，其他附件材料应传尽传。</w:t>
      </w:r>
    </w:p>
    <w:p w14:paraId="31718687">
      <w:pPr>
        <w:pStyle w:val="12"/>
        <w:tabs>
          <w:tab w:val="left" w:pos="9193"/>
          <w:tab w:val="left" w:pos="9827"/>
        </w:tabs>
        <w:spacing w:line="570" w:lineRule="exact"/>
        <w:ind w:firstLine="640" w:firstLineChars="200"/>
        <w:jc w:val="both"/>
        <w:rPr>
          <w:rFonts w:hint="eastAsia" w:ascii="Times New Roman" w:hAnsi="Times New Roman" w:eastAsia="方正仿宋简体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snapToGrid/>
          <w:color w:val="000000"/>
          <w:kern w:val="2"/>
          <w:sz w:val="32"/>
          <w:szCs w:val="32"/>
          <w:lang w:val="en-US" w:eastAsia="zh-CN" w:bidi="ar-SA"/>
        </w:rPr>
        <w:t>（五）项目申报截止日期为2025年2月28日。</w:t>
      </w:r>
    </w:p>
    <w:p w14:paraId="369B3E38">
      <w:pPr>
        <w:pStyle w:val="12"/>
        <w:tabs>
          <w:tab w:val="left" w:pos="9193"/>
          <w:tab w:val="left" w:pos="9827"/>
        </w:tabs>
        <w:spacing w:line="570" w:lineRule="exact"/>
        <w:ind w:firstLine="640" w:firstLineChars="200"/>
        <w:jc w:val="both"/>
        <w:rPr>
          <w:rFonts w:hint="eastAsia" w:ascii="Times New Roman" w:hAnsi="Times New Roman" w:eastAsia="方正仿宋简体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</w:p>
    <w:p w14:paraId="702D2656">
      <w:pPr>
        <w:pStyle w:val="12"/>
        <w:tabs>
          <w:tab w:val="left" w:pos="9193"/>
          <w:tab w:val="left" w:pos="9827"/>
        </w:tabs>
        <w:spacing w:line="570" w:lineRule="exact"/>
        <w:ind w:firstLine="640" w:firstLineChars="200"/>
        <w:jc w:val="both"/>
        <w:rPr>
          <w:rFonts w:hint="eastAsia" w:ascii="Times New Roman" w:hAnsi="Times New Roman" w:eastAsia="方正仿宋简体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snapToGrid/>
          <w:color w:val="000000"/>
          <w:kern w:val="2"/>
          <w:sz w:val="32"/>
          <w:szCs w:val="32"/>
          <w:lang w:val="en-US" w:eastAsia="zh-CN" w:bidi="ar-SA"/>
        </w:rPr>
        <w:t>联系人：省知识产权局产业促进处  安文龙</w:t>
      </w:r>
    </w:p>
    <w:p w14:paraId="775E0FDE">
      <w:pPr>
        <w:pStyle w:val="12"/>
        <w:tabs>
          <w:tab w:val="left" w:pos="9193"/>
          <w:tab w:val="left" w:pos="9827"/>
        </w:tabs>
        <w:spacing w:line="570" w:lineRule="exact"/>
        <w:ind w:firstLine="640" w:firstLineChars="200"/>
        <w:jc w:val="both"/>
        <w:rPr>
          <w:rFonts w:hint="eastAsia" w:ascii="Times New Roman" w:hAnsi="Times New Roman" w:eastAsia="方正仿宋简体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snapToGrid/>
          <w:color w:val="000000"/>
          <w:kern w:val="2"/>
          <w:sz w:val="32"/>
          <w:szCs w:val="32"/>
          <w:lang w:val="en-US" w:eastAsia="zh-CN" w:bidi="ar-SA"/>
        </w:rPr>
        <w:t>电  话：025-83236249</w:t>
      </w:r>
    </w:p>
    <w:p w14:paraId="1FB06294">
      <w:pPr>
        <w:widowControl/>
        <w:jc w:val="left"/>
        <w:rPr>
          <w:color w:val="auto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1" w:fontKey="{FE5F7431-A7B7-42D1-B009-CC11CB84C046}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F1F5A96-6E6F-484B-9994-4EFF6D7515B6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E7B92450-893F-4499-AFA8-BFB726657A71}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C5B57D10-99B9-42C7-A3C2-0991079AF7A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F1BCD8">
    <w:pPr>
      <w:pStyle w:val="2"/>
      <w:wordWrap w:val="0"/>
      <w:jc w:val="right"/>
      <w:rPr>
        <w:rFonts w:ascii="宋体" w:hAnsi="宋体" w:cs="宋体"/>
        <w:sz w:val="28"/>
        <w:szCs w:val="28"/>
      </w:rPr>
    </w:pPr>
    <w:r>
      <w:rPr>
        <w:rFonts w:hint="eastAsia" w:ascii="宋体" w:hAnsi="宋体" w:cs="宋体"/>
        <w:sz w:val="28"/>
        <w:szCs w:val="28"/>
      </w:rPr>
      <w:t xml:space="preserve">— </w:t>
    </w: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</w:rPr>
      <w:t>5</w:t>
    </w:r>
    <w:r>
      <w:rPr>
        <w:rFonts w:hint="eastAsia" w:ascii="宋体" w:hAnsi="宋体" w:cs="宋体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</w:rPr>
      <w:t xml:space="preserve"> —  </w:t>
    </w:r>
  </w:p>
  <w:p w14:paraId="175E980D">
    <w:pPr>
      <w:pStyle w:val="2"/>
      <w:jc w:val="right"/>
      <w:rPr>
        <w:rFonts w:ascii="宋体" w:hAnsi="宋体" w:cs="宋体"/>
        <w:sz w:val="28"/>
        <w:szCs w:val="28"/>
      </w:rPr>
    </w:pPr>
  </w:p>
  <w:p w14:paraId="37C2814C">
    <w:pPr>
      <w:pStyle w:val="2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41A6DF">
    <w:pPr>
      <w:pStyle w:val="2"/>
      <w:ind w:firstLine="280" w:firstLineChars="100"/>
      <w:rPr>
        <w:rFonts w:ascii="宋体" w:hAnsi="宋体" w:cs="宋体"/>
        <w:sz w:val="28"/>
        <w:szCs w:val="28"/>
      </w:rPr>
    </w:pPr>
    <w:r>
      <w:rPr>
        <w:rFonts w:hint="eastAsia" w:ascii="宋体" w:hAnsi="宋体" w:cs="宋体"/>
        <w:sz w:val="28"/>
        <w:szCs w:val="28"/>
      </w:rPr>
      <w:t xml:space="preserve">— </w:t>
    </w: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</w:rPr>
      <w:t>6</w:t>
    </w:r>
    <w:r>
      <w:rPr>
        <w:rFonts w:hint="eastAsia" w:ascii="宋体" w:hAnsi="宋体" w:cs="宋体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</w:rPr>
      <w:t xml:space="preserve"> —</w:t>
    </w:r>
  </w:p>
  <w:p w14:paraId="4FE00E94">
    <w:pPr>
      <w:pStyle w:val="2"/>
      <w:ind w:firstLine="280" w:firstLineChars="100"/>
      <w:rPr>
        <w:rFonts w:ascii="宋体" w:hAnsi="宋体" w:cs="宋体"/>
        <w:sz w:val="28"/>
        <w:szCs w:val="28"/>
      </w:rPr>
    </w:pPr>
  </w:p>
  <w:p w14:paraId="7FF108F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C4"/>
    <w:rsid w:val="0000099B"/>
    <w:rsid w:val="00031C0E"/>
    <w:rsid w:val="000400F4"/>
    <w:rsid w:val="000E1A43"/>
    <w:rsid w:val="000F6276"/>
    <w:rsid w:val="001006D5"/>
    <w:rsid w:val="00102C56"/>
    <w:rsid w:val="00113A67"/>
    <w:rsid w:val="001702D6"/>
    <w:rsid w:val="00194ED9"/>
    <w:rsid w:val="001B370D"/>
    <w:rsid w:val="001F4726"/>
    <w:rsid w:val="002175D4"/>
    <w:rsid w:val="00232CBF"/>
    <w:rsid w:val="00377BE2"/>
    <w:rsid w:val="00394194"/>
    <w:rsid w:val="00447980"/>
    <w:rsid w:val="004D0472"/>
    <w:rsid w:val="004E17A1"/>
    <w:rsid w:val="00535E87"/>
    <w:rsid w:val="0054534B"/>
    <w:rsid w:val="00566D0B"/>
    <w:rsid w:val="005D4C9B"/>
    <w:rsid w:val="00606E76"/>
    <w:rsid w:val="00791A1A"/>
    <w:rsid w:val="007A65C4"/>
    <w:rsid w:val="007B5D38"/>
    <w:rsid w:val="008378EC"/>
    <w:rsid w:val="00870E07"/>
    <w:rsid w:val="00906A83"/>
    <w:rsid w:val="0095741A"/>
    <w:rsid w:val="009804B1"/>
    <w:rsid w:val="00983E59"/>
    <w:rsid w:val="00A41ED2"/>
    <w:rsid w:val="00A52F62"/>
    <w:rsid w:val="00A539E8"/>
    <w:rsid w:val="00AC7EDF"/>
    <w:rsid w:val="00AE124E"/>
    <w:rsid w:val="00AF2AA5"/>
    <w:rsid w:val="00B008B3"/>
    <w:rsid w:val="00B31964"/>
    <w:rsid w:val="00B5611F"/>
    <w:rsid w:val="00C13F95"/>
    <w:rsid w:val="00C1766C"/>
    <w:rsid w:val="00C573DE"/>
    <w:rsid w:val="00C73E48"/>
    <w:rsid w:val="00C93DC8"/>
    <w:rsid w:val="00CB4122"/>
    <w:rsid w:val="00CF506F"/>
    <w:rsid w:val="00DA478C"/>
    <w:rsid w:val="00E36D3E"/>
    <w:rsid w:val="00E603F3"/>
    <w:rsid w:val="00E72DFD"/>
    <w:rsid w:val="00EC5915"/>
    <w:rsid w:val="00EE5BE6"/>
    <w:rsid w:val="00F037FC"/>
    <w:rsid w:val="00F10A3D"/>
    <w:rsid w:val="00FA420B"/>
    <w:rsid w:val="00FE5574"/>
    <w:rsid w:val="01CB741C"/>
    <w:rsid w:val="03140BC1"/>
    <w:rsid w:val="037D748A"/>
    <w:rsid w:val="03891CCD"/>
    <w:rsid w:val="050711B8"/>
    <w:rsid w:val="05746B9F"/>
    <w:rsid w:val="05D04C1C"/>
    <w:rsid w:val="083678E0"/>
    <w:rsid w:val="0851564A"/>
    <w:rsid w:val="08624986"/>
    <w:rsid w:val="0895569D"/>
    <w:rsid w:val="08FB583C"/>
    <w:rsid w:val="09D22F2F"/>
    <w:rsid w:val="0DB66391"/>
    <w:rsid w:val="0F7F0971"/>
    <w:rsid w:val="11583521"/>
    <w:rsid w:val="11EB39DE"/>
    <w:rsid w:val="131D6F45"/>
    <w:rsid w:val="14A12326"/>
    <w:rsid w:val="19C579A6"/>
    <w:rsid w:val="1BA25684"/>
    <w:rsid w:val="1E7F6623"/>
    <w:rsid w:val="1EE91B17"/>
    <w:rsid w:val="207A4A0E"/>
    <w:rsid w:val="20853FFA"/>
    <w:rsid w:val="20BF379D"/>
    <w:rsid w:val="22C609F0"/>
    <w:rsid w:val="23087252"/>
    <w:rsid w:val="230F3711"/>
    <w:rsid w:val="238515D8"/>
    <w:rsid w:val="245F3402"/>
    <w:rsid w:val="2587616D"/>
    <w:rsid w:val="28C1239F"/>
    <w:rsid w:val="2A74644A"/>
    <w:rsid w:val="2AB61B01"/>
    <w:rsid w:val="2B6756E9"/>
    <w:rsid w:val="2C773C1F"/>
    <w:rsid w:val="2CCC7BE6"/>
    <w:rsid w:val="2DE34572"/>
    <w:rsid w:val="346548A1"/>
    <w:rsid w:val="35D9042C"/>
    <w:rsid w:val="375D660E"/>
    <w:rsid w:val="385B4C74"/>
    <w:rsid w:val="3A475ED9"/>
    <w:rsid w:val="3B01001E"/>
    <w:rsid w:val="3EBF31E6"/>
    <w:rsid w:val="44055E8B"/>
    <w:rsid w:val="44255AA2"/>
    <w:rsid w:val="443349FB"/>
    <w:rsid w:val="46680253"/>
    <w:rsid w:val="46A445EF"/>
    <w:rsid w:val="46DE5639"/>
    <w:rsid w:val="484A1C2D"/>
    <w:rsid w:val="4A76712D"/>
    <w:rsid w:val="4B285F99"/>
    <w:rsid w:val="4CAC66DC"/>
    <w:rsid w:val="50EE1952"/>
    <w:rsid w:val="513D75CB"/>
    <w:rsid w:val="53BC33CF"/>
    <w:rsid w:val="56EE768A"/>
    <w:rsid w:val="57F704C0"/>
    <w:rsid w:val="58AD1254"/>
    <w:rsid w:val="5C2720F1"/>
    <w:rsid w:val="5CBD116A"/>
    <w:rsid w:val="5D303DF5"/>
    <w:rsid w:val="5D4E4F32"/>
    <w:rsid w:val="5D541708"/>
    <w:rsid w:val="5D5C054E"/>
    <w:rsid w:val="5E005973"/>
    <w:rsid w:val="5F4B45C0"/>
    <w:rsid w:val="5FCC06AD"/>
    <w:rsid w:val="612109DA"/>
    <w:rsid w:val="63191270"/>
    <w:rsid w:val="63462FB1"/>
    <w:rsid w:val="643444EB"/>
    <w:rsid w:val="663F0785"/>
    <w:rsid w:val="6969070A"/>
    <w:rsid w:val="6A0114BE"/>
    <w:rsid w:val="6CA956B3"/>
    <w:rsid w:val="6E8B25D2"/>
    <w:rsid w:val="6EEF1CA8"/>
    <w:rsid w:val="707B27AC"/>
    <w:rsid w:val="72FD1877"/>
    <w:rsid w:val="756B4BE9"/>
    <w:rsid w:val="77F1203B"/>
    <w:rsid w:val="79AF5702"/>
    <w:rsid w:val="7B7131AE"/>
    <w:rsid w:val="7BEA3510"/>
    <w:rsid w:val="7CD5746D"/>
    <w:rsid w:val="7E90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_Style 2"/>
    <w:qFormat/>
    <w:uiPriority w:val="99"/>
    <w:pPr>
      <w:widowControl w:val="0"/>
      <w:spacing w:line="351" w:lineRule="atLeast"/>
      <w:ind w:firstLine="623"/>
      <w:jc w:val="both"/>
      <w:textAlignment w:val="baseline"/>
    </w:pPr>
    <w:rPr>
      <w:rFonts w:ascii="等线" w:hAnsi="等线" w:eastAsia="仿宋_GB2312" w:cs="等线"/>
      <w:color w:val="000000"/>
      <w:kern w:val="2"/>
      <w:sz w:val="31"/>
      <w:lang w:val="en-US" w:eastAsia="zh-CN" w:bidi="ar-SA"/>
    </w:rPr>
  </w:style>
  <w:style w:type="character" w:customStyle="1" w:styleId="8">
    <w:name w:val="页眉 字符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basedOn w:val="5"/>
    <w:link w:val="2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0">
    <w:name w:val="Revision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">
    <w:name w:val="密级"/>
    <w:basedOn w:val="1"/>
    <w:qFormat/>
    <w:uiPriority w:val="0"/>
    <w:pPr>
      <w:adjustRightInd w:val="0"/>
      <w:spacing w:line="440" w:lineRule="atLeast"/>
      <w:ind w:firstLine="0"/>
      <w:jc w:val="right"/>
    </w:pPr>
    <w:rPr>
      <w:rFonts w:ascii="黑体" w:eastAsia="黑体"/>
      <w:sz w:val="30"/>
    </w:rPr>
  </w:style>
  <w:style w:type="paragraph" w:customStyle="1" w:styleId="12">
    <w:name w:val="标题1"/>
    <w:basedOn w:val="1"/>
    <w:next w:val="1"/>
    <w:qFormat/>
    <w:uiPriority w:val="0"/>
    <w:pPr>
      <w:spacing w:line="640" w:lineRule="atLeast"/>
      <w:jc w:val="center"/>
    </w:pPr>
    <w:rPr>
      <w:rFonts w:eastAsia="方正小标宋_GBK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2885</Words>
  <Characters>2989</Characters>
  <Lines>23</Lines>
  <Paragraphs>6</Paragraphs>
  <TotalTime>31</TotalTime>
  <ScaleCrop>false</ScaleCrop>
  <LinksUpToDate>false</LinksUpToDate>
  <CharactersWithSpaces>2994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2024-12-04T08:59:00Z</dcterms:created>
  <dc:creator>Lenovo</dc:creator>
  <cp:lastModifiedBy>TM</cp:lastModifiedBy>
  <cp:lastPrinted>2023-12-15T03:18:00Z</cp:lastPrinted>
  <dcterms:modified xsi:type="dcterms:W3CDTF">2025-01-24T07:42:40Z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5DD72C727E274BD4AA1BB9020D24DDC4</vt:lpwstr>
  </property>
  <property fmtid="{D5CDD505-2E9C-101B-9397-08002B2CF9AE}" pid="4" name="KSOTemplateDocerSaveRecord">
    <vt:lpwstr>eyJoZGlkIjoiMmE1NTllMGExZDA1OThhODg0Mjk2YzViMDNkZDM4NzciLCJ1c2VySWQiOiI0NTI5MTQ2MjEifQ==</vt:lpwstr>
  </property>
</Properties>
</file>