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787"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1312"/>
        <w:gridCol w:w="2318"/>
        <w:gridCol w:w="2010"/>
        <w:gridCol w:w="2010"/>
        <w:gridCol w:w="1712"/>
      </w:tblGrid>
      <w:tr w14:paraId="5DF6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87" w:type="dxa"/>
            <w:gridSpan w:val="6"/>
            <w:tcBorders>
              <w:top w:val="nil"/>
              <w:left w:val="nil"/>
              <w:bottom w:val="nil"/>
              <w:right w:val="nil"/>
            </w:tcBorders>
            <w:shd w:val="clear" w:color="auto" w:fill="auto"/>
            <w:vAlign w:val="center"/>
          </w:tcPr>
          <w:p w14:paraId="3FEEBD05">
            <w:pPr>
              <w:keepNext w:val="0"/>
              <w:keepLines w:val="0"/>
              <w:widowControl/>
              <w:suppressLineNumbers w:val="0"/>
              <w:jc w:val="center"/>
              <w:textAlignment w:val="center"/>
              <w:rPr>
                <w:rFonts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江宁区项目预算绩效目标申报表</w:t>
            </w:r>
          </w:p>
        </w:tc>
      </w:tr>
      <w:tr w14:paraId="1A73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787" w:type="dxa"/>
            <w:gridSpan w:val="6"/>
            <w:tcBorders>
              <w:top w:val="nil"/>
              <w:left w:val="nil"/>
              <w:bottom w:val="nil"/>
              <w:right w:val="nil"/>
            </w:tcBorders>
            <w:shd w:val="clear" w:color="auto" w:fill="auto"/>
            <w:vAlign w:val="center"/>
          </w:tcPr>
          <w:p w14:paraId="355217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2025年度</w:t>
            </w:r>
          </w:p>
        </w:tc>
      </w:tr>
      <w:tr w14:paraId="04C2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22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0E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公共资源交易中心运营经费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B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南京市江宁区数据局</w:t>
            </w:r>
          </w:p>
        </w:tc>
      </w:tr>
      <w:tr w14:paraId="19BB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40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1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分年度安排项目</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项目级次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区本级</w:t>
            </w:r>
          </w:p>
        </w:tc>
      </w:tr>
      <w:tr w14:paraId="6A80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1C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8A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南京市公共资源交易中心江宁分中心</w:t>
            </w:r>
          </w:p>
        </w:tc>
      </w:tr>
      <w:tr w14:paraId="5EF1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0F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项目概述</w:t>
            </w:r>
          </w:p>
        </w:tc>
        <w:tc>
          <w:tcPr>
            <w:tcW w:w="8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C5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公共资源交易中心江宁分中心承担为全区公共资源交易活动提供场所、信息、咨询、见证等相关服务工作，依法承担区属各单位政府集中采购代理工作，并为市公共资源交易中心提供部分代理国有产权交易服务。公共资源交易中心江宁分中心按照规定取得工程建设项目综合服务费收入，属于经营服务性收入，均按规定直接缴至财政非税专户，用于我单位运转保障相关支出。</w:t>
            </w:r>
          </w:p>
        </w:tc>
      </w:tr>
      <w:tr w14:paraId="0E3E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E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项目可行性说明</w:t>
            </w:r>
          </w:p>
        </w:tc>
        <w:tc>
          <w:tcPr>
            <w:tcW w:w="8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BA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公共资源交易中心运营经费合计200万元。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专家评审及标前论证费45万元：按照全年采购项目225个，平均每项目聘请专家4人*500元/人，需评审费225*4*500=45万元。2、公共资源交易中心自收自支人员（1人）工资福利费30万元。3、办公及运转保障经费125万元：我局编制人员较少，编外用工人员占比较高，财政拨付的经费仅按在编人员定额核拨，导致编外人员保障及日常运转保障经费不足，且随着数据改革，相关运转保障经费需求较大，用于支付市民中心环境改造、系统升级及其他运转保障相关经费。</w:t>
            </w:r>
          </w:p>
        </w:tc>
      </w:tr>
      <w:tr w14:paraId="40A7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11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中长期目标</w:t>
            </w:r>
          </w:p>
        </w:tc>
        <w:tc>
          <w:tcPr>
            <w:tcW w:w="8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02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中心采用“评定分离”方式的工程总承包项目电子招投标系统正式上线运行，逐步实现“全过程咨询”的工程项目电子化；打造区内首个工程总承包项目不见面开标、“不见面开标3.0系统”；推动全区各街道便民服务中心建设。</w:t>
            </w:r>
          </w:p>
        </w:tc>
      </w:tr>
      <w:tr w14:paraId="6D28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FB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8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5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中心采用“评定分离”方式的工程总承包项目电子招投标系统正式上线运行，逐步实现“全过程咨询”的工程项目电子化；打造区内首个工程总承包项目不见面开标、“不见面开标3.0系统”；推动全区各街道便民服务中心建设。</w:t>
            </w:r>
          </w:p>
        </w:tc>
      </w:tr>
      <w:tr w14:paraId="77D4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79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91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63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16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全年（工程）预算数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r>
      <w:tr w14:paraId="7CE6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4D35">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00E4">
            <w:pPr>
              <w:jc w:val="center"/>
              <w:rPr>
                <w:rFonts w:hint="eastAsia" w:ascii="宋体" w:hAnsi="宋体" w:eastAsia="宋体" w:cs="宋体"/>
                <w:i w:val="0"/>
                <w:iCs w:val="0"/>
                <w:color w:val="000000"/>
                <w:sz w:val="18"/>
                <w:szCs w:val="18"/>
                <w:u w:val="none"/>
              </w:rPr>
            </w:pPr>
          </w:p>
        </w:tc>
        <w:tc>
          <w:tcPr>
            <w:tcW w:w="63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3DC9">
            <w:pPr>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C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034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61FC">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9CDC">
            <w:pPr>
              <w:jc w:val="center"/>
              <w:rPr>
                <w:rFonts w:hint="eastAsia" w:ascii="宋体" w:hAnsi="宋体" w:eastAsia="宋体" w:cs="宋体"/>
                <w:i w:val="0"/>
                <w:iCs w:val="0"/>
                <w:color w:val="000000"/>
                <w:sz w:val="18"/>
                <w:szCs w:val="18"/>
                <w:u w:val="none"/>
              </w:rPr>
            </w:pPr>
          </w:p>
        </w:tc>
        <w:tc>
          <w:tcPr>
            <w:tcW w:w="2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75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9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B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6FA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0661">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2C52">
            <w:pPr>
              <w:jc w:val="center"/>
              <w:rPr>
                <w:rFonts w:hint="eastAsia" w:ascii="宋体" w:hAnsi="宋体" w:eastAsia="宋体" w:cs="宋体"/>
                <w:i w:val="0"/>
                <w:iCs w:val="0"/>
                <w:color w:val="000000"/>
                <w:sz w:val="18"/>
                <w:szCs w:val="18"/>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F9D1">
            <w:pPr>
              <w:jc w:val="center"/>
              <w:rPr>
                <w:rFonts w:hint="eastAsia" w:ascii="宋体" w:hAnsi="宋体" w:eastAsia="宋体" w:cs="宋体"/>
                <w:i w:val="0"/>
                <w:iCs w:val="0"/>
                <w:color w:val="000000"/>
                <w:sz w:val="18"/>
                <w:szCs w:val="18"/>
                <w:u w:val="none"/>
              </w:rPr>
            </w:pP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DD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C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5EA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F12F">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5E74">
            <w:pPr>
              <w:jc w:val="center"/>
              <w:rPr>
                <w:rFonts w:hint="eastAsia" w:ascii="宋体" w:hAnsi="宋体" w:eastAsia="宋体" w:cs="宋体"/>
                <w:i w:val="0"/>
                <w:iCs w:val="0"/>
                <w:color w:val="000000"/>
                <w:sz w:val="18"/>
                <w:szCs w:val="18"/>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FE64">
            <w:pPr>
              <w:jc w:val="center"/>
              <w:rPr>
                <w:rFonts w:hint="eastAsia" w:ascii="宋体" w:hAnsi="宋体" w:eastAsia="宋体" w:cs="宋体"/>
                <w:i w:val="0"/>
                <w:iCs w:val="0"/>
                <w:color w:val="000000"/>
                <w:sz w:val="18"/>
                <w:szCs w:val="18"/>
                <w:u w:val="none"/>
              </w:rPr>
            </w:pP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93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E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0B70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76DF">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D859">
            <w:pPr>
              <w:jc w:val="center"/>
              <w:rPr>
                <w:rFonts w:hint="eastAsia" w:ascii="宋体" w:hAnsi="宋体" w:eastAsia="宋体" w:cs="宋体"/>
                <w:i w:val="0"/>
                <w:iCs w:val="0"/>
                <w:color w:val="000000"/>
                <w:sz w:val="18"/>
                <w:szCs w:val="18"/>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EFB5">
            <w:pPr>
              <w:jc w:val="center"/>
              <w:rPr>
                <w:rFonts w:hint="eastAsia" w:ascii="宋体" w:hAnsi="宋体" w:eastAsia="宋体" w:cs="宋体"/>
                <w:i w:val="0"/>
                <w:iCs w:val="0"/>
                <w:color w:val="000000"/>
                <w:sz w:val="18"/>
                <w:szCs w:val="18"/>
                <w:u w:val="none"/>
              </w:rPr>
            </w:pP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A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49A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E9B0">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B772">
            <w:pPr>
              <w:jc w:val="center"/>
              <w:rPr>
                <w:rFonts w:hint="eastAsia" w:ascii="宋体" w:hAnsi="宋体" w:eastAsia="宋体" w:cs="宋体"/>
                <w:i w:val="0"/>
                <w:iCs w:val="0"/>
                <w:color w:val="000000"/>
                <w:sz w:val="18"/>
                <w:szCs w:val="18"/>
                <w:u w:val="none"/>
              </w:rPr>
            </w:pPr>
          </w:p>
        </w:tc>
        <w:tc>
          <w:tcPr>
            <w:tcW w:w="6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1D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C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07E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6B4E">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7E28">
            <w:pPr>
              <w:jc w:val="center"/>
              <w:rPr>
                <w:rFonts w:hint="eastAsia" w:ascii="宋体" w:hAnsi="宋体" w:eastAsia="宋体" w:cs="宋体"/>
                <w:i w:val="0"/>
                <w:iCs w:val="0"/>
                <w:color w:val="000000"/>
                <w:sz w:val="18"/>
                <w:szCs w:val="18"/>
                <w:u w:val="none"/>
              </w:rPr>
            </w:pPr>
          </w:p>
        </w:tc>
        <w:tc>
          <w:tcPr>
            <w:tcW w:w="6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BC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社保基金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E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834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D272">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FE45">
            <w:pPr>
              <w:jc w:val="center"/>
              <w:rPr>
                <w:rFonts w:hint="eastAsia" w:ascii="宋体" w:hAnsi="宋体" w:eastAsia="宋体" w:cs="宋体"/>
                <w:i w:val="0"/>
                <w:iCs w:val="0"/>
                <w:color w:val="000000"/>
                <w:sz w:val="18"/>
                <w:szCs w:val="18"/>
                <w:u w:val="none"/>
              </w:rPr>
            </w:pPr>
          </w:p>
        </w:tc>
        <w:tc>
          <w:tcPr>
            <w:tcW w:w="6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63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B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B2E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4103">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7DCB">
            <w:pPr>
              <w:jc w:val="center"/>
              <w:rPr>
                <w:rFonts w:hint="eastAsia" w:ascii="宋体" w:hAnsi="宋体" w:eastAsia="宋体" w:cs="宋体"/>
                <w:i w:val="0"/>
                <w:iCs w:val="0"/>
                <w:color w:val="000000"/>
                <w:sz w:val="18"/>
                <w:szCs w:val="18"/>
                <w:u w:val="none"/>
              </w:rPr>
            </w:pPr>
          </w:p>
        </w:tc>
        <w:tc>
          <w:tcPr>
            <w:tcW w:w="6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56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5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4F7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7C09">
            <w:pPr>
              <w:jc w:val="center"/>
              <w:rPr>
                <w:rFonts w:hint="eastAsia" w:ascii="宋体" w:hAnsi="宋体" w:eastAsia="宋体" w:cs="宋体"/>
                <w:i w:val="0"/>
                <w:iCs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1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6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项目支出明细</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E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计划执行数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9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r>
      <w:tr w14:paraId="2B73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BE4B">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B558">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84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公共资源交易中心运营经费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5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8D9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EC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指标值</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B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指标值</w:t>
            </w:r>
          </w:p>
        </w:tc>
      </w:tr>
      <w:tr w14:paraId="29D8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8E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F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B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r>
      <w:tr w14:paraId="1D99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E45E">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0CA6">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E8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w:t>
            </w:r>
          </w:p>
        </w:tc>
      </w:tr>
      <w:tr w14:paraId="503C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D84B">
            <w:pPr>
              <w:jc w:val="center"/>
              <w:rPr>
                <w:rFonts w:hint="eastAsia" w:ascii="宋体" w:hAnsi="宋体" w:eastAsia="宋体" w:cs="宋体"/>
                <w:i w:val="0"/>
                <w:iCs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87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B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D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r>
      <w:tr w14:paraId="1CA2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5BFB">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FA56">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2E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0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r>
      <w:tr w14:paraId="0D99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6D9C">
            <w:pPr>
              <w:jc w:val="center"/>
              <w:rPr>
                <w:rFonts w:hint="eastAsia" w:ascii="宋体" w:hAnsi="宋体" w:eastAsia="宋体" w:cs="宋体"/>
                <w:i w:val="0"/>
                <w:iCs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6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AD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B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F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r>
      <w:tr w14:paraId="3A8E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CF8A">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7356">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F8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F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r>
      <w:tr w14:paraId="2A14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9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6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7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E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4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r>
              <w:rPr>
                <w:rFonts w:hint="eastAsia" w:ascii="宋体" w:hAnsi="宋体" w:eastAsia="宋体" w:cs="宋体"/>
                <w:i w:val="0"/>
                <w:iCs w:val="0"/>
                <w:color w:val="000000"/>
                <w:kern w:val="0"/>
                <w:sz w:val="18"/>
                <w:szCs w:val="18"/>
                <w:u w:val="none"/>
                <w:lang w:val="en-US" w:eastAsia="zh-CN" w:bidi="ar"/>
              </w:rPr>
              <w:t>=</w:t>
            </w:r>
            <w:bookmarkEnd w:id="0"/>
            <w:r>
              <w:rPr>
                <w:rFonts w:hint="eastAsia" w:ascii="宋体" w:hAnsi="宋体" w:eastAsia="宋体" w:cs="宋体"/>
                <w:i w:val="0"/>
                <w:iCs w:val="0"/>
                <w:color w:val="000000"/>
                <w:kern w:val="0"/>
                <w:sz w:val="18"/>
                <w:szCs w:val="18"/>
                <w:u w:val="none"/>
                <w:lang w:val="en-US" w:eastAsia="zh-CN" w:bidi="ar"/>
              </w:rPr>
              <w:t>100%</w:t>
            </w:r>
          </w:p>
        </w:tc>
      </w:tr>
      <w:tr w14:paraId="41BB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63037">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AC05">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12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F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r>
      <w:tr w14:paraId="3BA6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35A5">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96D9">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8C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D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序时进度</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3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774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3FB5">
            <w:pPr>
              <w:jc w:val="center"/>
              <w:rPr>
                <w:rFonts w:hint="eastAsia" w:ascii="宋体" w:hAnsi="宋体" w:eastAsia="宋体" w:cs="宋体"/>
                <w:i w:val="0"/>
                <w:iCs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00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1D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2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72D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784A">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E0EB">
            <w:pPr>
              <w:jc w:val="center"/>
              <w:rPr>
                <w:rFonts w:hint="eastAsia" w:ascii="宋体" w:hAnsi="宋体" w:eastAsia="宋体" w:cs="宋体"/>
                <w:i w:val="0"/>
                <w:iCs w:val="0"/>
                <w:color w:val="000000"/>
                <w:sz w:val="18"/>
                <w:szCs w:val="18"/>
                <w:u w:val="none"/>
              </w:rPr>
            </w:pP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5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7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r>
      <w:tr w14:paraId="3C7E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9E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6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E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全年受理公共资源交易项目数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≥100件</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8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≥200件</w:t>
            </w:r>
          </w:p>
        </w:tc>
      </w:tr>
      <w:tr w14:paraId="430D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5739">
            <w:pPr>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F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经费支出合规性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2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严格执行相关财经法规、制度</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2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严格执行相关财经法规、制度</w:t>
            </w:r>
          </w:p>
        </w:tc>
      </w:tr>
      <w:tr w14:paraId="5D76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B58D">
            <w:pPr>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6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经费支出时效性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9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1A2D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EC45">
            <w:pPr>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1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72A55">
            <w:pPr>
              <w:jc w:val="center"/>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F3A">
            <w:pPr>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66">
            <w:pPr>
              <w:jc w:val="center"/>
              <w:rPr>
                <w:rFonts w:hint="eastAsia" w:ascii="宋体" w:hAnsi="宋体" w:eastAsia="宋体" w:cs="宋体"/>
                <w:i w:val="0"/>
                <w:iCs w:val="0"/>
                <w:color w:val="000000"/>
                <w:sz w:val="18"/>
                <w:szCs w:val="18"/>
                <w:u w:val="none"/>
              </w:rPr>
            </w:pPr>
          </w:p>
        </w:tc>
      </w:tr>
      <w:tr w14:paraId="2905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C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B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6BF90">
            <w:pPr>
              <w:jc w:val="center"/>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430">
            <w:pPr>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2B9">
            <w:pPr>
              <w:jc w:val="center"/>
              <w:rPr>
                <w:rFonts w:hint="eastAsia" w:ascii="宋体" w:hAnsi="宋体" w:eastAsia="宋体" w:cs="宋体"/>
                <w:i w:val="0"/>
                <w:iCs w:val="0"/>
                <w:color w:val="000000"/>
                <w:sz w:val="18"/>
                <w:szCs w:val="18"/>
                <w:u w:val="none"/>
              </w:rPr>
            </w:pPr>
          </w:p>
        </w:tc>
      </w:tr>
      <w:tr w14:paraId="0FB8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DEBF">
            <w:pPr>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F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D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落实各级监管部门降低制度性交易成本要求，减轻企业参与招投标负担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w:t>
            </w:r>
          </w:p>
        </w:tc>
      </w:tr>
      <w:tr w14:paraId="00D9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6E2E">
            <w:pPr>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03B49">
            <w:pPr>
              <w:jc w:val="center"/>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7D41">
            <w:pPr>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262">
            <w:pPr>
              <w:jc w:val="center"/>
              <w:rPr>
                <w:rFonts w:hint="eastAsia" w:ascii="宋体" w:hAnsi="宋体" w:eastAsia="宋体" w:cs="宋体"/>
                <w:i w:val="0"/>
                <w:iCs w:val="0"/>
                <w:color w:val="000000"/>
                <w:sz w:val="18"/>
                <w:szCs w:val="18"/>
                <w:u w:val="none"/>
              </w:rPr>
            </w:pPr>
          </w:p>
        </w:tc>
      </w:tr>
      <w:tr w14:paraId="4FD8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D9EF">
            <w:pPr>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9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公共资源交易平台服务标准化程度</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7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r>
      <w:tr w14:paraId="304C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D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FC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办事群众综合满意率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B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3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bl>
    <w:p w14:paraId="32CB50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5642E"/>
    <w:rsid w:val="4B90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1175</Words>
  <Characters>1230</Characters>
  <Lines>0</Lines>
  <Paragraphs>0</Paragraphs>
  <TotalTime>0</TotalTime>
  <ScaleCrop>false</ScaleCrop>
  <LinksUpToDate>false</LinksUpToDate>
  <CharactersWithSpaces>1230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2025-02-11T01:26:00Z</dcterms:created>
  <dc:creator>yang</dc:creator>
  <cp:lastModifiedBy>Trinity</cp:lastModifiedBy>
  <dcterms:modified xsi:type="dcterms:W3CDTF">2025-02-11T01:32:53Z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eyJoZGlkIjoiMTVlZDdmN2ZmYjI4MzA5YjkzNjMwMmUyYzRhMmJlMmEiLCJ1c2VySWQiOiI0NDUxMzY5NTUifQ==</vt:lpwstr>
  </property>
  <property fmtid="{D5CDD505-2E9C-101B-9397-08002B2CF9AE}" pid="4" name="ICV">
    <vt:lpwstr>FB937E6F55494456AE6C03C504496B9F_12</vt:lpwstr>
  </property>
</Properties>
</file>