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B8EF7">
      <w:pPr>
        <w:spacing w:line="560" w:lineRule="exac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w:t>
      </w:r>
    </w:p>
    <w:p w14:paraId="4EAD9B3A">
      <w:pPr>
        <w:tabs>
          <w:tab w:val="left" w:pos="486"/>
        </w:tabs>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rPr>
        <w:t>5</w:t>
      </w:r>
      <w:r>
        <w:rPr>
          <w:rFonts w:hint="default" w:ascii="Times New Roman" w:hAnsi="Times New Roman" w:eastAsia="方正小标宋简体" w:cs="Times New Roman"/>
          <w:sz w:val="36"/>
          <w:szCs w:val="36"/>
        </w:rPr>
        <w:t>年区级衔接推进乡村振兴补助资金项目汇总表</w:t>
      </w:r>
    </w:p>
    <w:p w14:paraId="347D37ED">
      <w:pPr>
        <w:tabs>
          <w:tab w:val="left" w:pos="486"/>
        </w:tabs>
        <w:ind w:right="480"/>
        <w:jc w:val="righ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单位：万元</w:t>
      </w:r>
    </w:p>
    <w:tbl>
      <w:tblPr>
        <w:tblStyle w:val="2"/>
        <w:tblW w:w="13497" w:type="dxa"/>
        <w:jc w:val="center"/>
        <w:tblLayout w:type="fixed"/>
        <w:tblCellMar>
          <w:top w:w="0" w:type="dxa"/>
          <w:left w:w="108" w:type="dxa"/>
          <w:bottom w:w="0" w:type="dxa"/>
          <w:right w:w="108" w:type="dxa"/>
        </w:tblCellMar>
      </w:tblPr>
      <w:tblGrid>
        <w:gridCol w:w="727"/>
        <w:gridCol w:w="1680"/>
        <w:gridCol w:w="1005"/>
        <w:gridCol w:w="1080"/>
        <w:gridCol w:w="7965"/>
        <w:gridCol w:w="1040"/>
      </w:tblGrid>
      <w:tr w14:paraId="7ADA18F2">
        <w:tblPrEx>
          <w:tblCellMar>
            <w:top w:w="0" w:type="dxa"/>
            <w:left w:w="108" w:type="dxa"/>
            <w:bottom w:w="0" w:type="dxa"/>
            <w:right w:w="108" w:type="dxa"/>
          </w:tblCellMar>
        </w:tblPrEx>
        <w:trPr>
          <w:cantSplit/>
          <w:trHeight w:val="573"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43307">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序号</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FBD0C2">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项目名称</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67C90">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项目类别</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2F875">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建设</w:t>
            </w:r>
          </w:p>
          <w:p w14:paraId="4D855912">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单位</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89364">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建设内容</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A8075">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项目</w:t>
            </w:r>
          </w:p>
          <w:p w14:paraId="3A8D24DB">
            <w:pPr>
              <w:autoSpaceDE w:val="0"/>
              <w:autoSpaceDN w:val="0"/>
              <w:adjustRightInd w:val="0"/>
              <w:snapToGrid w:val="0"/>
              <w:spacing w:line="240" w:lineRule="atLeast"/>
              <w:jc w:val="center"/>
              <w:rPr>
                <w:rFonts w:hint="default" w:ascii="Times New Roman" w:hAnsi="Times New Roman" w:eastAsia="方正黑体简体" w:cs="Times New Roman"/>
                <w:color w:val="000000"/>
                <w:sz w:val="24"/>
                <w:szCs w:val="24"/>
              </w:rPr>
            </w:pPr>
            <w:r>
              <w:rPr>
                <w:rFonts w:hint="default" w:ascii="Times New Roman" w:hAnsi="Times New Roman" w:eastAsia="方正黑体简体" w:cs="Times New Roman"/>
                <w:color w:val="000000"/>
                <w:sz w:val="24"/>
                <w:szCs w:val="24"/>
              </w:rPr>
              <w:t>总投资</w:t>
            </w:r>
          </w:p>
        </w:tc>
      </w:tr>
      <w:tr w14:paraId="65CCA0AE">
        <w:tblPrEx>
          <w:tblCellMar>
            <w:top w:w="0" w:type="dxa"/>
            <w:left w:w="108" w:type="dxa"/>
            <w:bottom w:w="0" w:type="dxa"/>
            <w:right w:w="108" w:type="dxa"/>
          </w:tblCellMar>
        </w:tblPrEx>
        <w:trPr>
          <w:trHeight w:val="720"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E7BD8A">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1E66A">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淳化青山粮食烘干仓储建设</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07BA0F">
            <w:pPr>
              <w:widowControl/>
              <w:spacing w:line="2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CE744">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淳化街道青山社区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B39B5">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本项目计划新建一座面积达1500平方米的粮食烘干仓储厂房，该厂房将作为集粮食储存与烘干为一体的核心枢纽。厂房内不仅会有序架设先进的粮食仓储、烘干设备生产线，还将依托这些设备，对粮食进行专业、高效的初加工处理。</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E9EF4">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395.21</w:t>
            </w:r>
          </w:p>
        </w:tc>
      </w:tr>
      <w:tr w14:paraId="684BD047">
        <w:tblPrEx>
          <w:tblCellMar>
            <w:top w:w="0" w:type="dxa"/>
            <w:left w:w="108" w:type="dxa"/>
            <w:bottom w:w="0" w:type="dxa"/>
            <w:right w:w="108" w:type="dxa"/>
          </w:tblCellMar>
        </w:tblPrEx>
        <w:trPr>
          <w:trHeight w:val="1362"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C934BA">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0B704">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来凤路38号工业厂房改造工程</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FA278">
            <w:pPr>
              <w:widowControl/>
              <w:spacing w:line="2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EF4D6">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禄口街道山塘社区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86141">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1拆除工程：原厂区披棚拆改1347.6m2，原厕所拆除47.69m2，原围墙栏杆拆除250.68m；2、土建工程：扩建钢结构厂房921.51m2；新建厕所60.26m2，室外沥青摊铺2689m2，新建围墙栏杆250.68m；3、改造工程：原厂房配套用房内部改造1526.46m2，原厂房内部改造2714.78m；4、安装工程：厕所给排水系统及设备、强电系统及设备，5T升降机1台；5、电力增容工程：新建配电房、1250KV电力设备安装及调试等。</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84421B">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685.62</w:t>
            </w:r>
          </w:p>
        </w:tc>
      </w:tr>
      <w:tr w14:paraId="4771A3A8">
        <w:tblPrEx>
          <w:tblCellMar>
            <w:top w:w="0" w:type="dxa"/>
            <w:left w:w="108" w:type="dxa"/>
            <w:bottom w:w="0" w:type="dxa"/>
            <w:right w:w="108" w:type="dxa"/>
          </w:tblCellMar>
        </w:tblPrEx>
        <w:trPr>
          <w:trHeight w:val="321"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21561">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922194">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古窑周边两处集体资产改造及翻建</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C4B0B">
            <w:pPr>
              <w:widowControl/>
              <w:spacing w:line="2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6CDEB">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东山街道佘村社区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8B96F">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对310㎡集体资产进行集体资产改造及翻建，消除安全隐患的同时整合乡村闲置房屋。主要是对古石灰窑周边的集体资产进行改造及翻建，涉及房屋内部水电、污水支管、主管网建设等。</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57B14">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111.28</w:t>
            </w:r>
          </w:p>
        </w:tc>
      </w:tr>
      <w:tr w14:paraId="782B7BE9">
        <w:tblPrEx>
          <w:tblCellMar>
            <w:top w:w="0" w:type="dxa"/>
            <w:left w:w="108" w:type="dxa"/>
            <w:bottom w:w="0" w:type="dxa"/>
            <w:right w:w="108" w:type="dxa"/>
          </w:tblCellMar>
        </w:tblPrEx>
        <w:trPr>
          <w:trHeight w:val="345"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4233D9">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5B5BC">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三界村仓储冷库及配套设施项目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26F62">
            <w:pPr>
              <w:widowControl/>
              <w:spacing w:line="2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2B80DA">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湖熟街道三界村</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5A438C">
            <w:pPr>
              <w:keepNext w:val="0"/>
              <w:keepLines w:val="0"/>
              <w:widowControl/>
              <w:suppressLineNumbers w:val="0"/>
              <w:jc w:val="both"/>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约100平方预冷保鲜库及生产配套设施等、125立方保鲜库、地秤升降平台等配套，智能化设备</w:t>
            </w:r>
            <w:bookmarkStart w:id="0" w:name="_GoBack"/>
            <w:r>
              <w:rPr>
                <w:rFonts w:hint="default" w:ascii="Times New Roman" w:hAnsi="Times New Roman" w:eastAsia="方正仿宋_GBK" w:cs="Times New Roman"/>
                <w:i w:val="0"/>
                <w:iCs w:val="0"/>
                <w:color w:val="000000"/>
                <w:kern w:val="0"/>
                <w:sz w:val="18"/>
                <w:szCs w:val="18"/>
                <w:u w:val="none"/>
                <w:lang w:val="en-US" w:eastAsia="zh-CN" w:bidi="ar"/>
              </w:rPr>
              <w:t>及电力设施升级</w:t>
            </w:r>
            <w:bookmarkEnd w:id="0"/>
            <w:r>
              <w:rPr>
                <w:rFonts w:hint="default" w:ascii="Times New Roman" w:hAnsi="Times New Roman" w:eastAsia="方正仿宋_GBK" w:cs="Times New Roman"/>
                <w:i w:val="0"/>
                <w:iCs w:val="0"/>
                <w:color w:val="000000"/>
                <w:kern w:val="0"/>
                <w:sz w:val="18"/>
                <w:szCs w:val="18"/>
                <w:u w:val="none"/>
                <w:lang w:val="en-US" w:eastAsia="zh-CN" w:bidi="ar"/>
              </w:rPr>
              <w:t>等。</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410784">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102</w:t>
            </w:r>
          </w:p>
        </w:tc>
      </w:tr>
      <w:tr w14:paraId="47501C40">
        <w:tblPrEx>
          <w:tblCellMar>
            <w:top w:w="0" w:type="dxa"/>
            <w:left w:w="108" w:type="dxa"/>
            <w:bottom w:w="0" w:type="dxa"/>
            <w:right w:w="108" w:type="dxa"/>
          </w:tblCellMar>
        </w:tblPrEx>
        <w:trPr>
          <w:trHeight w:val="390"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FCABC0">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954954">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吉山社区汪塘厂房项目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93466">
            <w:pPr>
              <w:widowControl/>
              <w:spacing w:line="2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4E5EFA">
            <w:pPr>
              <w:keepNext w:val="0"/>
              <w:keepLines w:val="0"/>
              <w:widowControl/>
              <w:suppressLineNumbers w:val="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秣陵街道吉山社区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B5D718">
            <w:pPr>
              <w:keepNext w:val="0"/>
              <w:keepLines w:val="0"/>
              <w:widowControl/>
              <w:suppressLineNumbers w:val="0"/>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原大礼堂拆除，拆除后原地拟建两层辅助用房，场地平整及室外配套、门卫及围墙等。主体建筑主要功能为辅助用房，建筑面积约1200㎡。</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CEF784">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390</w:t>
            </w:r>
          </w:p>
        </w:tc>
      </w:tr>
      <w:tr w14:paraId="1E14E939">
        <w:tblPrEx>
          <w:tblCellMar>
            <w:top w:w="0" w:type="dxa"/>
            <w:left w:w="108" w:type="dxa"/>
            <w:bottom w:w="0" w:type="dxa"/>
            <w:right w:w="108" w:type="dxa"/>
          </w:tblCellMar>
        </w:tblPrEx>
        <w:trPr>
          <w:trHeight w:val="630"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633B84">
            <w:pPr>
              <w:spacing w:line="260" w:lineRule="exact"/>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sz w:val="18"/>
                <w:szCs w:val="18"/>
                <w:lang w:val="en-US"/>
              </w:rPr>
              <w:t>6</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E4966">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元山社区东善桥工业园区自建房翻建工程</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073228">
            <w:pPr>
              <w:widowControl/>
              <w:spacing w:line="260" w:lineRule="exact"/>
              <w:jc w:val="center"/>
              <w:textAlignment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F8CC3A">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秣陵街道元山社区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A9207">
            <w:pPr>
              <w:keepNext w:val="0"/>
              <w:keepLines w:val="0"/>
              <w:widowControl/>
              <w:suppressLineNumbers w:val="0"/>
              <w:jc w:val="both"/>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东善桥工业园区第六幢东区自建房进行重新翻建并对周边设施进行提档升级，计划将原310㎡自建房拆除，原址翻建并扩大厂房约1000㎡，招商引资。</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B3B1A9">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185</w:t>
            </w:r>
          </w:p>
        </w:tc>
      </w:tr>
      <w:tr w14:paraId="10C6FE6D">
        <w:tblPrEx>
          <w:tblCellMar>
            <w:top w:w="0" w:type="dxa"/>
            <w:left w:w="108" w:type="dxa"/>
            <w:bottom w:w="0" w:type="dxa"/>
            <w:right w:w="108" w:type="dxa"/>
          </w:tblCellMar>
        </w:tblPrEx>
        <w:trPr>
          <w:trHeight w:val="90"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E432A">
            <w:pPr>
              <w:spacing w:line="260" w:lineRule="exact"/>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sz w:val="18"/>
                <w:szCs w:val="18"/>
                <w:lang w:val="en-US"/>
              </w:rPr>
              <w:t>7</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AC609">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东旺社区闲置房屋加固改造工程</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7F5AA9">
            <w:pPr>
              <w:widowControl/>
              <w:spacing w:line="260" w:lineRule="exact"/>
              <w:jc w:val="center"/>
              <w:textAlignment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3A11D">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秣陵街道东旺社区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DBCABD">
            <w:pPr>
              <w:keepNext w:val="0"/>
              <w:keepLines w:val="0"/>
              <w:widowControl/>
              <w:suppressLineNumbers w:val="0"/>
              <w:jc w:val="both"/>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秣陵街道东旺社区殷家村附近现有一处闲置房屋，其中主楼共四层，建筑总面积约1086平方米，辅房总面积约660平方米。</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B0515">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200</w:t>
            </w:r>
          </w:p>
        </w:tc>
      </w:tr>
      <w:tr w14:paraId="0C7082FC">
        <w:tblPrEx>
          <w:tblCellMar>
            <w:top w:w="0" w:type="dxa"/>
            <w:left w:w="108" w:type="dxa"/>
            <w:bottom w:w="0" w:type="dxa"/>
            <w:right w:w="108" w:type="dxa"/>
          </w:tblCellMar>
        </w:tblPrEx>
        <w:trPr>
          <w:trHeight w:val="90" w:hRule="atLeast"/>
          <w:jc w:val="center"/>
        </w:trPr>
        <w:tc>
          <w:tcPr>
            <w:tcW w:w="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26EC2B">
            <w:pPr>
              <w:spacing w:line="260" w:lineRule="exact"/>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sz w:val="18"/>
                <w:szCs w:val="18"/>
                <w:lang w:val="en-US"/>
              </w:rPr>
              <w:t>8</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03E031">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鹤龄社区白合村集体厂房改造项目</w:t>
            </w:r>
          </w:p>
        </w:tc>
        <w:tc>
          <w:tcPr>
            <w:tcW w:w="10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76BDAA">
            <w:pPr>
              <w:widowControl/>
              <w:spacing w:line="260" w:lineRule="exact"/>
              <w:jc w:val="center"/>
              <w:textAlignment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产业发展</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CE053">
            <w:pPr>
              <w:keepNext w:val="0"/>
              <w:keepLines w:val="0"/>
              <w:widowControl/>
              <w:suppressLineNumbers w:val="0"/>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汤山街道鹤龄社区</w:t>
            </w:r>
          </w:p>
        </w:tc>
        <w:tc>
          <w:tcPr>
            <w:tcW w:w="79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0AAB58">
            <w:pPr>
              <w:keepNext w:val="0"/>
              <w:keepLines w:val="0"/>
              <w:widowControl/>
              <w:suppressLineNumbers w:val="0"/>
              <w:jc w:val="both"/>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白合村集体厂房改造项目通过翻建原有集体厂房，建成约700平方米厂房（厂房长44.1米，宽12米，面积529.2平方米；厂房长11.4米，宽12米，二层，建筑面积159.6平方米；厂房长16米，宽4米，面积64平方米；厂房长6米，宽4.4米，面积26.4平方米）用于零部件机械加工等，带动村集体经济发展。</w:t>
            </w:r>
          </w:p>
        </w:tc>
        <w:tc>
          <w:tcPr>
            <w:tcW w:w="1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392DC">
            <w:pPr>
              <w:keepNext w:val="0"/>
              <w:keepLines w:val="0"/>
              <w:widowControl/>
              <w:suppressLineNumbers w:val="0"/>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122</w:t>
            </w:r>
          </w:p>
        </w:tc>
      </w:tr>
      <w:tr w14:paraId="79078FFD">
        <w:tblPrEx>
          <w:tblCellMar>
            <w:top w:w="0" w:type="dxa"/>
            <w:left w:w="108" w:type="dxa"/>
            <w:bottom w:w="0" w:type="dxa"/>
            <w:right w:w="108" w:type="dxa"/>
          </w:tblCellMar>
        </w:tblPrEx>
        <w:trPr>
          <w:trHeight w:val="340" w:hRule="atLeast"/>
          <w:jc w:val="center"/>
        </w:trPr>
        <w:tc>
          <w:tcPr>
            <w:tcW w:w="727" w:type="dxa"/>
            <w:tcBorders>
              <w:top w:val="nil"/>
              <w:left w:val="single" w:color="auto" w:sz="6" w:space="0"/>
              <w:bottom w:val="single" w:color="auto" w:sz="6" w:space="0"/>
              <w:right w:val="single" w:color="auto" w:sz="6" w:space="0"/>
              <w:tl2br w:val="nil"/>
              <w:tr2bl w:val="nil"/>
            </w:tcBorders>
            <w:noWrap w:val="0"/>
            <w:vAlign w:val="center"/>
          </w:tcPr>
          <w:p w14:paraId="6999C1BA">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i w:val="0"/>
                <w:iCs w:val="0"/>
                <w:color w:val="000000"/>
                <w:kern w:val="0"/>
                <w:sz w:val="18"/>
                <w:szCs w:val="18"/>
                <w:u w:val="none"/>
                <w:lang w:val="en-US" w:eastAsia="zh-CN" w:bidi="ar"/>
              </w:rPr>
              <w:t>合计</w:t>
            </w:r>
          </w:p>
        </w:tc>
        <w:tc>
          <w:tcPr>
            <w:tcW w:w="1680" w:type="dxa"/>
            <w:tcBorders>
              <w:top w:val="nil"/>
              <w:left w:val="single" w:color="auto" w:sz="6" w:space="0"/>
              <w:bottom w:val="single" w:color="auto" w:sz="6" w:space="0"/>
              <w:right w:val="single" w:color="auto" w:sz="6" w:space="0"/>
              <w:tl2br w:val="nil"/>
              <w:tr2bl w:val="nil"/>
            </w:tcBorders>
            <w:noWrap w:val="0"/>
            <w:vAlign w:val="center"/>
          </w:tcPr>
          <w:p w14:paraId="75451BAC">
            <w:pPr>
              <w:spacing w:line="260" w:lineRule="exact"/>
              <w:jc w:val="center"/>
              <w:rPr>
                <w:rFonts w:hint="default" w:ascii="Times New Roman" w:hAnsi="Times New Roman" w:eastAsia="宋体" w:cs="Times New Roman"/>
                <w:color w:val="000000"/>
                <w:sz w:val="18"/>
                <w:szCs w:val="18"/>
              </w:rPr>
            </w:pPr>
          </w:p>
        </w:tc>
        <w:tc>
          <w:tcPr>
            <w:tcW w:w="1005" w:type="dxa"/>
            <w:tcBorders>
              <w:top w:val="nil"/>
              <w:left w:val="single" w:color="auto" w:sz="6" w:space="0"/>
              <w:bottom w:val="single" w:color="auto" w:sz="6" w:space="0"/>
              <w:right w:val="single" w:color="auto" w:sz="6" w:space="0"/>
              <w:tl2br w:val="nil"/>
              <w:tr2bl w:val="nil"/>
            </w:tcBorders>
            <w:noWrap w:val="0"/>
            <w:vAlign w:val="center"/>
          </w:tcPr>
          <w:p w14:paraId="5D7EEED2">
            <w:pPr>
              <w:spacing w:line="260" w:lineRule="exact"/>
              <w:jc w:val="center"/>
              <w:rPr>
                <w:rFonts w:hint="default" w:ascii="Times New Roman" w:hAnsi="Times New Roman" w:eastAsia="宋体" w:cs="Times New Roman"/>
                <w:color w:val="000000"/>
                <w:sz w:val="18"/>
                <w:szCs w:val="18"/>
              </w:rPr>
            </w:pPr>
          </w:p>
        </w:tc>
        <w:tc>
          <w:tcPr>
            <w:tcW w:w="1080" w:type="dxa"/>
            <w:tcBorders>
              <w:top w:val="nil"/>
              <w:left w:val="single" w:color="auto" w:sz="6" w:space="0"/>
              <w:bottom w:val="single" w:color="auto" w:sz="6" w:space="0"/>
              <w:right w:val="single" w:color="auto" w:sz="6" w:space="0"/>
              <w:tl2br w:val="nil"/>
              <w:tr2bl w:val="nil"/>
            </w:tcBorders>
            <w:noWrap w:val="0"/>
            <w:vAlign w:val="center"/>
          </w:tcPr>
          <w:p w14:paraId="49178DC0">
            <w:pPr>
              <w:spacing w:line="260" w:lineRule="exact"/>
              <w:jc w:val="center"/>
              <w:rPr>
                <w:rFonts w:hint="default" w:ascii="Times New Roman" w:hAnsi="Times New Roman" w:eastAsia="宋体" w:cs="Times New Roman"/>
                <w:color w:val="000000"/>
                <w:sz w:val="18"/>
                <w:szCs w:val="18"/>
              </w:rPr>
            </w:pPr>
          </w:p>
        </w:tc>
        <w:tc>
          <w:tcPr>
            <w:tcW w:w="7965" w:type="dxa"/>
            <w:tcBorders>
              <w:top w:val="nil"/>
              <w:left w:val="single" w:color="auto" w:sz="6" w:space="0"/>
              <w:bottom w:val="single" w:color="auto" w:sz="6" w:space="0"/>
              <w:right w:val="single" w:color="auto" w:sz="6" w:space="0"/>
              <w:tl2br w:val="nil"/>
              <w:tr2bl w:val="nil"/>
            </w:tcBorders>
            <w:noWrap w:val="0"/>
            <w:vAlign w:val="center"/>
          </w:tcPr>
          <w:p w14:paraId="7372AA8B">
            <w:pPr>
              <w:spacing w:line="260" w:lineRule="exact"/>
              <w:jc w:val="center"/>
              <w:rPr>
                <w:rFonts w:hint="default" w:ascii="Times New Roman" w:hAnsi="Times New Roman" w:eastAsia="宋体" w:cs="Times New Roman"/>
                <w:color w:val="000000"/>
                <w:sz w:val="18"/>
                <w:szCs w:val="18"/>
              </w:rPr>
            </w:pPr>
          </w:p>
        </w:tc>
        <w:tc>
          <w:tcPr>
            <w:tcW w:w="1040" w:type="dxa"/>
            <w:tcBorders>
              <w:top w:val="nil"/>
              <w:left w:val="single" w:color="auto" w:sz="6" w:space="0"/>
              <w:bottom w:val="single" w:color="auto" w:sz="6" w:space="0"/>
              <w:right w:val="single" w:color="auto" w:sz="6" w:space="0"/>
              <w:tl2br w:val="nil"/>
              <w:tr2bl w:val="nil"/>
            </w:tcBorders>
            <w:noWrap w:val="0"/>
            <w:vAlign w:val="center"/>
          </w:tcPr>
          <w:p w14:paraId="01EE4C5C">
            <w:pPr>
              <w:spacing w:line="260" w:lineRule="exact"/>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sz w:val="18"/>
                <w:szCs w:val="18"/>
                <w:lang w:val="en-US"/>
              </w:rPr>
              <w:t>2191.11</w:t>
            </w:r>
          </w:p>
        </w:tc>
      </w:tr>
    </w:tbl>
    <w:p w14:paraId="19C4D177"/>
    <w:sectPr>
      <w:pgSz w:w="16838" w:h="11906" w:orient="landscape"/>
      <w:pgMar w:top="669" w:right="1440" w:bottom="6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3A48"/>
    <w:rsid w:val="7548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2025-08-11T01:20:00Z</dcterms:created>
  <dc:creator>呆桃子</dc:creator>
  <cp:lastModifiedBy>呆桃子</cp:lastModifiedBy>
  <dcterms:modified xsi:type="dcterms:W3CDTF">2025-08-11T01:26:18Z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9A8CADD06E1C4980BD6A86654A127EFB_11</vt:lpwstr>
  </property>
  <property fmtid="{D5CDD505-2E9C-101B-9397-08002B2CF9AE}" pid="4" name="KSOTemplateDocerSaveRecord">
    <vt:lpwstr>eyJoZGlkIjoiZmM5MDIwOGI3NWQ5ZDAwNWQ5ZTIwNmNkMTBlNDI4NjAiLCJ1c2VySWQiOiIzMTA5OTgwMDEifQ==</vt:lpwstr>
  </property>
</Properties>
</file>