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368E2F">
      <w:pPr>
        <w:overflowPunct w:val="0"/>
        <w:topLinePunct/>
        <w:adjustRightInd w:val="0"/>
        <w:snapToGrid w:val="0"/>
        <w:spacing w:line="560" w:lineRule="exact"/>
        <w:rPr>
          <w:rFonts w:hint="eastAsia" w:ascii="Times New Roman" w:hAnsi="Times New Roman" w:eastAsia="方正黑体_GBK" w:cs="方正黑体_GBK"/>
          <w:color w:val="000000"/>
          <w:kern w:val="0"/>
          <w:sz w:val="32"/>
          <w:szCs w:val="32"/>
          <w:lang w:eastAsia="zh-CN" w:bidi="ar"/>
        </w:rPr>
      </w:pPr>
      <w:r>
        <w:rPr>
          <w:rFonts w:ascii="Times New Roman" w:hAnsi="Times New Roman" w:eastAsia="方正黑体_GBK" w:cs="方正黑体_GBK"/>
          <w:color w:val="000000"/>
          <w:kern w:val="0"/>
          <w:sz w:val="32"/>
          <w:szCs w:val="32"/>
          <w:lang w:bidi="ar"/>
        </w:rPr>
        <w:t>附件</w:t>
      </w:r>
      <w:r>
        <w:rPr>
          <w:rFonts w:hint="eastAsia" w:ascii="Times New Roman" w:hAnsi="Times New Roman" w:eastAsia="方正黑体_GBK" w:cs="方正黑体_GBK"/>
          <w:color w:val="000000"/>
          <w:kern w:val="0"/>
          <w:sz w:val="32"/>
          <w:szCs w:val="32"/>
          <w:lang w:val="en-US" w:eastAsia="zh-CN" w:bidi="ar"/>
        </w:rPr>
        <w:t>2</w:t>
      </w:r>
    </w:p>
    <w:p w14:paraId="0F290DA9">
      <w:pPr>
        <w:overflowPunct w:val="0"/>
        <w:topLinePunct/>
        <w:adjustRightInd w:val="0"/>
        <w:snapToGrid w:val="0"/>
        <w:spacing w:after="312" w:afterLines="100" w:line="60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</w:rPr>
        <w:t>江苏省社会团体评估指标</w:t>
      </w:r>
    </w:p>
    <w:tbl>
      <w:tblPr>
        <w:tblStyle w:val="4"/>
        <w:tblW w:w="1478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1356"/>
        <w:gridCol w:w="2087"/>
        <w:gridCol w:w="10401"/>
      </w:tblGrid>
      <w:tr w14:paraId="62A1C6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2F2E2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default" w:ascii="Times New Roman" w:hAnsi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ABB3C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方正黑体_GBK" w:cs="方正黑体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方正黑体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8DA8A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方正黑体_GBK" w:cs="方正黑体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方正黑体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指标说明</w:t>
            </w:r>
          </w:p>
        </w:tc>
      </w:tr>
      <w:tr w14:paraId="3415A8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17896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D13E6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党建工作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83461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党的组织</w:t>
            </w:r>
          </w:p>
          <w:p w14:paraId="315B8076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10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BBD6C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设立党组织（单建、联建；实体型、功能型）（</w:t>
            </w:r>
            <w:r>
              <w:rPr>
                <w:rStyle w:val="10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1E99E478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11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注：未设立党组织，但通过选派党建工作指导员、联络员，建立工青妇组织等途径，做好联系服务群众、推荐入党积极分子等工作，为建立党组织创造条件得</w:t>
            </w:r>
            <w:r>
              <w:rPr>
                <w:rStyle w:val="12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11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分。</w:t>
            </w:r>
          </w:p>
          <w:p w14:paraId="0D453868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党组织班子成员和社会组织党员管理层人员双向进入、交叉任职（</w:t>
            </w:r>
            <w:r>
              <w:rPr>
                <w:rStyle w:val="10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5B8E34E0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党组织书记由社会组织负责人担任得</w:t>
            </w:r>
            <w:r>
              <w:rPr>
                <w:rStyle w:val="10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分，其他人员担任得</w:t>
            </w:r>
            <w:r>
              <w:rPr>
                <w:rStyle w:val="10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分。</w:t>
            </w:r>
          </w:p>
          <w:p w14:paraId="29A836FF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Times New Roman" w:hAnsi="Times New Roman" w:eastAsia="等线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注：党组织应建未建的，不予评为</w:t>
            </w:r>
            <w:r>
              <w:rPr>
                <w:rStyle w:val="12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4A</w:t>
            </w:r>
            <w:r>
              <w:rPr>
                <w:rStyle w:val="11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（含）以上等级。</w:t>
            </w:r>
          </w:p>
        </w:tc>
      </w:tr>
      <w:tr w14:paraId="4FD075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2A9B5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D0E42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4B5C0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党的工作</w:t>
            </w:r>
          </w:p>
          <w:p w14:paraId="53FB7352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10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CABF5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14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加强党员教育管理，落实党的基本组织生活制度，各项活动记录内容完整、格式规范</w:t>
            </w:r>
            <w:r>
              <w:rPr>
                <w:rStyle w:val="14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15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14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10B9F0BB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11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注：包括</w:t>
            </w:r>
            <w:r>
              <w:rPr>
                <w:rStyle w:val="12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Style w:val="11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三会一课</w:t>
            </w:r>
            <w:r>
              <w:rPr>
                <w:rStyle w:val="12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Style w:val="11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、主题党日和谈心谈话等制度。实体型党支部还需要落实组织生活会、民主评议党员等制度。</w:t>
            </w:r>
          </w:p>
          <w:p w14:paraId="1FCCE87C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落实意识形态责任制并建立相关制度（</w:t>
            </w:r>
            <w:r>
              <w:rPr>
                <w:rStyle w:val="10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7C8D4BDC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14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落实党风廉政建设制度，党组织对社会组织重大事项决策、重要业务活动等提出意见（</w:t>
            </w:r>
            <w:r>
              <w:rPr>
                <w:rStyle w:val="15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Style w:val="14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0302AB0C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党组织引导和支持社会组织有序参与社会治理、提供公共服务、承担社会责任，党员积极参与教育培训以及社会组织工作，模范带头作用明显（</w:t>
            </w:r>
            <w:r>
              <w:rPr>
                <w:rStyle w:val="10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48B8FC9A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Times New Roman" w:hAnsi="Times New Roman" w:eastAsia="等线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注：党组织负责人有违规违纪行为的，不予评为</w:t>
            </w:r>
            <w:r>
              <w:rPr>
                <w:rStyle w:val="12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3A</w:t>
            </w:r>
            <w:r>
              <w:rPr>
                <w:rStyle w:val="11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（含）以上等级；未开展党的工作和活动的，不予评为</w:t>
            </w:r>
            <w:r>
              <w:rPr>
                <w:rStyle w:val="12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4A</w:t>
            </w:r>
            <w:r>
              <w:rPr>
                <w:rStyle w:val="11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（含）以上等级。</w:t>
            </w:r>
          </w:p>
        </w:tc>
      </w:tr>
      <w:tr w14:paraId="3CEAF0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D336D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CF8C6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基础条件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CD609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6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登记备案</w:t>
            </w:r>
          </w:p>
          <w:p w14:paraId="69BFFED4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10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0BD81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按规定办理登记（成立登记、变更登记）和备案（</w:t>
            </w:r>
            <w:r>
              <w:rPr>
                <w:rStyle w:val="10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7100E0E5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登记事项：名称、业务范围、住所、注册资金、法定代表人、业务主管单位。</w:t>
            </w:r>
          </w:p>
          <w:p w14:paraId="44C71B0A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备案事项：负责人、理事、监事，印章（单位、财务、法定代表人）、银行账户。</w:t>
            </w:r>
          </w:p>
          <w:p w14:paraId="73493F17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17"/>
                <w:rFonts w:ascii="Times New Roman" w:hAnsi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7"/>
                <w:rFonts w:ascii="Times New Roman" w:hAnsi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注：组织需提供理事、监事名单。以上各项，有1项未按规定办理扣1分，扣完为止。</w:t>
            </w:r>
          </w:p>
          <w:p w14:paraId="6E492A03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Times New Roman" w:hAnsi="Times New Roman" w:eastAsia="等线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按民政部门及章程示范文本要求，将党的建设及社会主义核心价值观相关内容规范完整写入章程（</w:t>
            </w:r>
            <w:r>
              <w:rPr>
                <w:rStyle w:val="10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</w:tr>
      <w:tr w14:paraId="57FB14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A7426">
            <w:pPr>
              <w:overflowPunct w:val="0"/>
              <w:topLinePunct/>
              <w:adjustRightInd w:val="0"/>
              <w:snapToGrid w:val="0"/>
              <w:spacing w:line="276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242D0">
            <w:pPr>
              <w:overflowPunct w:val="0"/>
              <w:topLinePunct/>
              <w:adjustRightInd w:val="0"/>
              <w:snapToGrid w:val="0"/>
              <w:spacing w:line="276" w:lineRule="exact"/>
              <w:jc w:val="center"/>
              <w:rPr>
                <w:rFonts w:ascii="Times New Roman" w:hAnsi="Times New Roman" w:eastAsia="等线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5C2EA">
            <w:pPr>
              <w:overflowPunct w:val="0"/>
              <w:topLinePunct/>
              <w:adjustRightInd w:val="0"/>
              <w:snapToGrid w:val="0"/>
              <w:spacing w:line="276" w:lineRule="exact"/>
              <w:jc w:val="center"/>
              <w:textAlignment w:val="center"/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6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年检</w:t>
            </w:r>
          </w:p>
          <w:p w14:paraId="3D944F01">
            <w:pPr>
              <w:overflowPunct w:val="0"/>
              <w:topLinePunct/>
              <w:adjustRightInd w:val="0"/>
              <w:snapToGrid w:val="0"/>
              <w:spacing w:line="276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10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77EF5">
            <w:pPr>
              <w:overflowPunct w:val="0"/>
              <w:topLinePunct/>
              <w:adjustRightInd w:val="0"/>
              <w:snapToGrid w:val="0"/>
              <w:spacing w:line="276" w:lineRule="exact"/>
              <w:jc w:val="left"/>
              <w:textAlignment w:val="center"/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按规定年检（</w:t>
            </w:r>
            <w:r>
              <w:rPr>
                <w:rStyle w:val="10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51F1B881">
            <w:pPr>
              <w:overflowPunct w:val="0"/>
              <w:topLinePunct/>
              <w:adjustRightInd w:val="0"/>
              <w:snapToGrid w:val="0"/>
              <w:spacing w:line="276" w:lineRule="exact"/>
              <w:jc w:val="left"/>
              <w:textAlignment w:val="center"/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Style w:val="18"/>
                <w:rFonts w:hint="default" w:ascii="Times New Roman" w:hAnsi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申报评估年度前两年年检合格</w:t>
            </w: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10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43B229F1">
            <w:pPr>
              <w:overflowPunct w:val="0"/>
              <w:topLinePunct/>
              <w:adjustRightInd w:val="0"/>
              <w:snapToGrid w:val="0"/>
              <w:spacing w:line="276" w:lineRule="exact"/>
              <w:jc w:val="left"/>
              <w:textAlignment w:val="center"/>
              <w:rPr>
                <w:rFonts w:ascii="Times New Roman" w:hAnsi="Times New Roman" w:eastAsia="等线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年末净资产不低于注册资金（</w:t>
            </w:r>
            <w:r>
              <w:rPr>
                <w:rStyle w:val="10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</w:tr>
      <w:tr w14:paraId="49082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BB77C">
            <w:pPr>
              <w:overflowPunct w:val="0"/>
              <w:topLinePunct/>
              <w:adjustRightInd w:val="0"/>
              <w:snapToGrid w:val="0"/>
              <w:spacing w:line="276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6E422">
            <w:pPr>
              <w:overflowPunct w:val="0"/>
              <w:topLinePunct/>
              <w:adjustRightInd w:val="0"/>
              <w:snapToGrid w:val="0"/>
              <w:spacing w:line="276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内部治理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AA0AD">
            <w:pPr>
              <w:overflowPunct w:val="0"/>
              <w:topLinePunct/>
              <w:adjustRightInd w:val="0"/>
              <w:snapToGrid w:val="0"/>
              <w:spacing w:line="276" w:lineRule="exact"/>
              <w:jc w:val="center"/>
              <w:textAlignment w:val="center"/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机构建设</w:t>
            </w:r>
          </w:p>
          <w:p w14:paraId="1A400769">
            <w:pPr>
              <w:overflowPunct w:val="0"/>
              <w:topLinePunct/>
              <w:adjustRightInd w:val="0"/>
              <w:snapToGrid w:val="0"/>
              <w:spacing w:line="276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10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9DFAE">
            <w:pPr>
              <w:overflowPunct w:val="0"/>
              <w:topLinePunct/>
              <w:adjustRightInd w:val="0"/>
              <w:snapToGrid w:val="0"/>
              <w:spacing w:line="276" w:lineRule="exact"/>
              <w:jc w:val="left"/>
              <w:textAlignment w:val="center"/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理事会设立、制度建设及履职情况（</w:t>
            </w:r>
            <w:r>
              <w:rPr>
                <w:rStyle w:val="10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35FEE4C8">
            <w:pPr>
              <w:overflowPunct w:val="0"/>
              <w:topLinePunct/>
              <w:adjustRightInd w:val="0"/>
              <w:snapToGrid w:val="0"/>
              <w:spacing w:line="276" w:lineRule="exact"/>
              <w:jc w:val="left"/>
              <w:textAlignment w:val="center"/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理事会人员构成符合规定，无违规取酬情况；建立完善理事会议事决策等相关制度；理事会按时换届，按章程规定召开理事会；理事会履职情况，决定重大业务活动、制定内部管理制度、年度收支预算及决算审定等。有</w:t>
            </w:r>
            <w:r>
              <w:rPr>
                <w:rStyle w:val="10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项不满足扣</w:t>
            </w:r>
            <w:r>
              <w:rPr>
                <w:rStyle w:val="10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分，扣完为止。</w:t>
            </w:r>
          </w:p>
          <w:p w14:paraId="48936DB7">
            <w:pPr>
              <w:overflowPunct w:val="0"/>
              <w:topLinePunct/>
              <w:adjustRightInd w:val="0"/>
              <w:snapToGrid w:val="0"/>
              <w:spacing w:line="276" w:lineRule="exact"/>
              <w:jc w:val="left"/>
              <w:textAlignment w:val="center"/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监事（会）设立及履职情况（</w:t>
            </w:r>
            <w:r>
              <w:rPr>
                <w:rStyle w:val="10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190D449F">
            <w:pPr>
              <w:overflowPunct w:val="0"/>
              <w:topLinePunct/>
              <w:adjustRightInd w:val="0"/>
              <w:snapToGrid w:val="0"/>
              <w:spacing w:line="276" w:lineRule="exact"/>
              <w:jc w:val="left"/>
              <w:textAlignment w:val="center"/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按规定设立监事（会），设立监事会得</w:t>
            </w:r>
            <w:r>
              <w:rPr>
                <w:rStyle w:val="10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分，仅设立监事得</w:t>
            </w:r>
            <w:r>
              <w:rPr>
                <w:rStyle w:val="10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0.5</w:t>
            </w: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分；监事（会）制度健全并按规定履职，得</w:t>
            </w:r>
            <w:r>
              <w:rPr>
                <w:rStyle w:val="10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分。</w:t>
            </w:r>
          </w:p>
          <w:p w14:paraId="2728CE9C">
            <w:pPr>
              <w:overflowPunct w:val="0"/>
              <w:topLinePunct/>
              <w:adjustRightInd w:val="0"/>
              <w:snapToGrid w:val="0"/>
              <w:spacing w:line="276" w:lineRule="exact"/>
              <w:jc w:val="left"/>
              <w:textAlignment w:val="center"/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内设机构设立运转情况（</w:t>
            </w:r>
            <w:r>
              <w:rPr>
                <w:rStyle w:val="10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081CA906">
            <w:pPr>
              <w:overflowPunct w:val="0"/>
              <w:topLinePunct/>
              <w:adjustRightInd w:val="0"/>
              <w:snapToGrid w:val="0"/>
              <w:spacing w:line="276" w:lineRule="exact"/>
              <w:jc w:val="left"/>
              <w:textAlignment w:val="center"/>
              <w:rPr>
                <w:rFonts w:ascii="Times New Roman" w:hAnsi="Times New Roman" w:eastAsia="等线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设立秘书处、办公室等内设机构，且职责明确、运转协调。</w:t>
            </w:r>
          </w:p>
        </w:tc>
      </w:tr>
      <w:tr w14:paraId="4F799D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E305F">
            <w:pPr>
              <w:overflowPunct w:val="0"/>
              <w:topLinePunct/>
              <w:adjustRightInd w:val="0"/>
              <w:snapToGrid w:val="0"/>
              <w:spacing w:line="276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825B5">
            <w:pPr>
              <w:overflowPunct w:val="0"/>
              <w:topLinePunct/>
              <w:adjustRightInd w:val="0"/>
              <w:snapToGrid w:val="0"/>
              <w:spacing w:line="276" w:lineRule="exact"/>
              <w:jc w:val="center"/>
              <w:rPr>
                <w:rFonts w:ascii="Times New Roman" w:hAnsi="Times New Roman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00143">
            <w:pPr>
              <w:overflowPunct w:val="0"/>
              <w:topLinePunct/>
              <w:adjustRightInd w:val="0"/>
              <w:snapToGrid w:val="0"/>
              <w:spacing w:line="276" w:lineRule="exact"/>
              <w:jc w:val="center"/>
              <w:textAlignment w:val="center"/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会员、会费管理</w:t>
            </w:r>
          </w:p>
          <w:p w14:paraId="0169A36E">
            <w:pPr>
              <w:overflowPunct w:val="0"/>
              <w:topLinePunct/>
              <w:adjustRightInd w:val="0"/>
              <w:snapToGrid w:val="0"/>
              <w:spacing w:line="276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10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CF048">
            <w:pPr>
              <w:overflowPunct w:val="0"/>
              <w:topLinePunct/>
              <w:adjustRightInd w:val="0"/>
              <w:snapToGrid w:val="0"/>
              <w:spacing w:line="276" w:lineRule="exact"/>
              <w:jc w:val="left"/>
              <w:textAlignment w:val="center"/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会员管理（</w:t>
            </w:r>
            <w:r>
              <w:rPr>
                <w:rStyle w:val="10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52FF1DA6">
            <w:pPr>
              <w:overflowPunct w:val="0"/>
              <w:topLinePunct/>
              <w:adjustRightInd w:val="0"/>
              <w:snapToGrid w:val="0"/>
              <w:spacing w:line="276" w:lineRule="exact"/>
              <w:jc w:val="left"/>
              <w:textAlignment w:val="center"/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制定包括会员入会退会、会员档案、会员联络、会员服务、权利义务在内的会员管理制度；依规发展并管理会员。</w:t>
            </w:r>
          </w:p>
          <w:p w14:paraId="6E2DA7B9">
            <w:pPr>
              <w:overflowPunct w:val="0"/>
              <w:topLinePunct/>
              <w:adjustRightInd w:val="0"/>
              <w:snapToGrid w:val="0"/>
              <w:spacing w:line="276" w:lineRule="exact"/>
              <w:jc w:val="left"/>
              <w:textAlignment w:val="center"/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会费管理（</w:t>
            </w:r>
            <w:r>
              <w:rPr>
                <w:rStyle w:val="10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68305963">
            <w:pPr>
              <w:overflowPunct w:val="0"/>
              <w:topLinePunct/>
              <w:adjustRightInd w:val="0"/>
              <w:snapToGrid w:val="0"/>
              <w:spacing w:line="276" w:lineRule="exact"/>
              <w:jc w:val="left"/>
              <w:textAlignment w:val="center"/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制定会费管理制度并经会员（代表）大会通过；依规收取会费；依规使用会费。</w:t>
            </w:r>
          </w:p>
          <w:p w14:paraId="01BA4C02">
            <w:pPr>
              <w:overflowPunct w:val="0"/>
              <w:topLinePunct/>
              <w:adjustRightInd w:val="0"/>
              <w:snapToGrid w:val="0"/>
              <w:spacing w:line="276" w:lineRule="exact"/>
              <w:jc w:val="left"/>
              <w:textAlignment w:val="center"/>
              <w:rPr>
                <w:rFonts w:ascii="Times New Roman" w:hAnsi="Times New Roman" w:eastAsia="等线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注：未收取会费的不扣分。</w:t>
            </w:r>
          </w:p>
        </w:tc>
      </w:tr>
      <w:tr w14:paraId="7FDA9D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F4A0B">
            <w:pPr>
              <w:overflowPunct w:val="0"/>
              <w:topLinePunct/>
              <w:adjustRightInd w:val="0"/>
              <w:snapToGrid w:val="0"/>
              <w:spacing w:line="276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3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14123">
            <w:pPr>
              <w:overflowPunct w:val="0"/>
              <w:topLinePunct/>
              <w:adjustRightInd w:val="0"/>
              <w:snapToGrid w:val="0"/>
              <w:spacing w:line="276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内部治理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53E09">
            <w:pPr>
              <w:overflowPunct w:val="0"/>
              <w:topLinePunct/>
              <w:adjustRightInd w:val="0"/>
              <w:snapToGrid w:val="0"/>
              <w:spacing w:line="276" w:lineRule="exact"/>
              <w:jc w:val="center"/>
              <w:textAlignment w:val="center"/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制度建设</w:t>
            </w:r>
          </w:p>
          <w:p w14:paraId="3A319023">
            <w:pPr>
              <w:overflowPunct w:val="0"/>
              <w:topLinePunct/>
              <w:adjustRightInd w:val="0"/>
              <w:snapToGrid w:val="0"/>
              <w:spacing w:line="276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10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5E1E9">
            <w:pPr>
              <w:overflowPunct w:val="0"/>
              <w:topLinePunct/>
              <w:adjustRightInd w:val="0"/>
              <w:snapToGrid w:val="0"/>
              <w:spacing w:line="276" w:lineRule="exact"/>
              <w:jc w:val="left"/>
              <w:textAlignment w:val="center"/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建立健全各项制度且能够规范执行，包括：内部矛盾化解、重大事项报告、财务、资产、人事、档案、印章、信息公开等制度。</w:t>
            </w:r>
          </w:p>
          <w:p w14:paraId="5A930EE8">
            <w:pPr>
              <w:overflowPunct w:val="0"/>
              <w:topLinePunct/>
              <w:adjustRightInd w:val="0"/>
              <w:snapToGrid w:val="0"/>
              <w:spacing w:line="276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注：以上各项，缺</w:t>
            </w:r>
            <w:r>
              <w:rPr>
                <w:rStyle w:val="12"/>
                <w:rFonts w:eastAsia="方正仿宋_GBK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11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项扣</w:t>
            </w:r>
            <w:r>
              <w:rPr>
                <w:rStyle w:val="12"/>
                <w:rFonts w:eastAsia="方正仿宋_GBK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0.5</w:t>
            </w:r>
            <w:r>
              <w:rPr>
                <w:rStyle w:val="11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分，扣完为止。</w:t>
            </w:r>
          </w:p>
        </w:tc>
      </w:tr>
      <w:tr w14:paraId="526011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A3DC7">
            <w:pPr>
              <w:overflowPunct w:val="0"/>
              <w:topLinePunct/>
              <w:adjustRightInd w:val="0"/>
              <w:snapToGrid w:val="0"/>
              <w:spacing w:line="276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C4D6D">
            <w:pPr>
              <w:overflowPunct w:val="0"/>
              <w:topLinePunct/>
              <w:adjustRightInd w:val="0"/>
              <w:snapToGrid w:val="0"/>
              <w:spacing w:line="276" w:lineRule="exact"/>
              <w:jc w:val="center"/>
              <w:rPr>
                <w:rFonts w:ascii="Times New Roman" w:hAnsi="Times New Roman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C5836">
            <w:pPr>
              <w:overflowPunct w:val="0"/>
              <w:topLinePunct/>
              <w:adjustRightInd w:val="0"/>
              <w:snapToGrid w:val="0"/>
              <w:spacing w:line="276" w:lineRule="exact"/>
              <w:jc w:val="center"/>
              <w:textAlignment w:val="center"/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人力资源管理</w:t>
            </w:r>
          </w:p>
          <w:p w14:paraId="5443CEFE">
            <w:pPr>
              <w:overflowPunct w:val="0"/>
              <w:topLinePunct/>
              <w:adjustRightInd w:val="0"/>
              <w:snapToGrid w:val="0"/>
              <w:spacing w:line="276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10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985CF">
            <w:pPr>
              <w:overflowPunct w:val="0"/>
              <w:topLinePunct/>
              <w:adjustRightInd w:val="0"/>
              <w:snapToGrid w:val="0"/>
              <w:spacing w:line="276" w:lineRule="exact"/>
              <w:jc w:val="left"/>
              <w:textAlignment w:val="center"/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*1.</w:t>
            </w: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负责人管理（</w:t>
            </w:r>
            <w:r>
              <w:rPr>
                <w:rStyle w:val="10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5BDC7F8F">
            <w:pPr>
              <w:overflowPunct w:val="0"/>
              <w:topLinePunct/>
              <w:adjustRightInd w:val="0"/>
              <w:snapToGrid w:val="0"/>
              <w:spacing w:line="276" w:lineRule="exact"/>
              <w:jc w:val="left"/>
              <w:textAlignment w:val="center"/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负责人届次、年龄符合规定；秘书长专职；领导干部兼职符合规定并履行报批手续，且未在社会团体领取报酬。</w:t>
            </w:r>
          </w:p>
          <w:p w14:paraId="31F097DF">
            <w:pPr>
              <w:overflowPunct w:val="0"/>
              <w:topLinePunct/>
              <w:adjustRightInd w:val="0"/>
              <w:snapToGrid w:val="0"/>
              <w:spacing w:line="276" w:lineRule="exact"/>
              <w:jc w:val="left"/>
              <w:textAlignment w:val="center"/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专职工作人员管理（</w:t>
            </w:r>
            <w:r>
              <w:rPr>
                <w:rStyle w:val="10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06CE489A">
            <w:pPr>
              <w:overflowPunct w:val="0"/>
              <w:topLinePunct/>
              <w:adjustRightInd w:val="0"/>
              <w:snapToGrid w:val="0"/>
              <w:spacing w:line="276" w:lineRule="exact"/>
              <w:jc w:val="left"/>
              <w:textAlignment w:val="center"/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专职工作人员满</w:t>
            </w:r>
            <w:r>
              <w:rPr>
                <w:rStyle w:val="10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人（</w:t>
            </w:r>
            <w:r>
              <w:rPr>
                <w:rStyle w:val="10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分），每少</w:t>
            </w:r>
            <w:r>
              <w:rPr>
                <w:rStyle w:val="10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人扣</w:t>
            </w:r>
            <w:r>
              <w:rPr>
                <w:rStyle w:val="10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0.2</w:t>
            </w: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  <w:p w14:paraId="1D86B908">
            <w:pPr>
              <w:overflowPunct w:val="0"/>
              <w:topLinePunct/>
              <w:adjustRightInd w:val="0"/>
              <w:snapToGrid w:val="0"/>
              <w:spacing w:line="276" w:lineRule="exact"/>
              <w:jc w:val="left"/>
              <w:textAlignment w:val="center"/>
              <w:rPr>
                <w:rStyle w:val="9"/>
                <w:rFonts w:hint="default"/>
                <w:color w:val="000000" w:themeColor="text1"/>
                <w:spacing w:val="-6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/>
                <w:color w:val="000000" w:themeColor="text1"/>
                <w:spacing w:val="-6"/>
                <w:lang w:bidi="ar"/>
                <w14:textFill>
                  <w14:solidFill>
                    <w14:schemeClr w14:val="tx1"/>
                  </w14:solidFill>
                </w14:textFill>
              </w:rPr>
              <w:t>专职工作人员人员结构合理，</w:t>
            </w:r>
            <w:r>
              <w:rPr>
                <w:rStyle w:val="10"/>
                <w:rFonts w:eastAsia="等线"/>
                <w:color w:val="000000" w:themeColor="text1"/>
                <w:spacing w:val="-6"/>
                <w:lang w:bidi="ar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rStyle w:val="9"/>
                <w:rFonts w:hint="default"/>
                <w:color w:val="000000" w:themeColor="text1"/>
                <w:spacing w:val="-6"/>
                <w:lang w:bidi="ar"/>
                <w14:textFill>
                  <w14:solidFill>
                    <w14:schemeClr w14:val="tx1"/>
                  </w14:solidFill>
                </w14:textFill>
              </w:rPr>
              <w:t>周岁以下占</w:t>
            </w:r>
            <w:r>
              <w:rPr>
                <w:rStyle w:val="10"/>
                <w:rFonts w:eastAsia="等线"/>
                <w:color w:val="000000" w:themeColor="text1"/>
                <w:spacing w:val="-6"/>
                <w:lang w:bidi="ar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rStyle w:val="9"/>
                <w:color w:val="000000" w:themeColor="text1"/>
                <w:spacing w:val="-6"/>
                <w:lang w:bidi="ar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Style w:val="9"/>
                <w:rFonts w:hint="default"/>
                <w:color w:val="000000" w:themeColor="text1"/>
                <w:spacing w:val="-6"/>
                <w:lang w:bidi="ar"/>
                <w14:textFill>
                  <w14:solidFill>
                    <w14:schemeClr w14:val="tx1"/>
                  </w14:solidFill>
                </w14:textFill>
              </w:rPr>
              <w:t>以上、本科以上学历者占</w:t>
            </w:r>
            <w:r>
              <w:rPr>
                <w:rStyle w:val="10"/>
                <w:rFonts w:eastAsia="等线"/>
                <w:color w:val="000000" w:themeColor="text1"/>
                <w:spacing w:val="-6"/>
                <w:lang w:bidi="ar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rStyle w:val="10"/>
                <w:rFonts w:hint="eastAsia" w:eastAsia="等线"/>
                <w:color w:val="000000" w:themeColor="text1"/>
                <w:spacing w:val="-6"/>
                <w:lang w:bidi="ar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Style w:val="9"/>
                <w:rFonts w:hint="default"/>
                <w:color w:val="000000" w:themeColor="text1"/>
                <w:spacing w:val="-6"/>
                <w:lang w:bidi="ar"/>
                <w14:textFill>
                  <w14:solidFill>
                    <w14:schemeClr w14:val="tx1"/>
                  </w14:solidFill>
                </w14:textFill>
              </w:rPr>
              <w:t>以上（均满足得</w:t>
            </w:r>
            <w:r>
              <w:rPr>
                <w:rStyle w:val="10"/>
                <w:rFonts w:eastAsia="等线"/>
                <w:color w:val="000000" w:themeColor="text1"/>
                <w:spacing w:val="-6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9"/>
                <w:rFonts w:hint="default"/>
                <w:color w:val="000000" w:themeColor="text1"/>
                <w:spacing w:val="-6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10BF1C1F">
            <w:pPr>
              <w:overflowPunct w:val="0"/>
              <w:topLinePunct/>
              <w:adjustRightInd w:val="0"/>
              <w:snapToGrid w:val="0"/>
              <w:spacing w:line="276" w:lineRule="exact"/>
              <w:jc w:val="left"/>
              <w:textAlignment w:val="center"/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按相关规定参加法律法规、业务培训（</w:t>
            </w:r>
            <w:r>
              <w:rPr>
                <w:rStyle w:val="10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161A6FCA">
            <w:pPr>
              <w:overflowPunct w:val="0"/>
              <w:topLinePunct/>
              <w:adjustRightInd w:val="0"/>
              <w:snapToGrid w:val="0"/>
              <w:spacing w:line="276" w:lineRule="exact"/>
              <w:jc w:val="left"/>
              <w:textAlignment w:val="center"/>
              <w:rPr>
                <w:rFonts w:ascii="Times New Roman" w:hAnsi="Times New Roman" w:eastAsia="等线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注：专职工作人员指建立劳动关系并购买社保的工作人员。返聘、劳动关系在其他单位的工作人员，按</w:t>
            </w:r>
            <w:r>
              <w:rPr>
                <w:rStyle w:val="12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50%</w:t>
            </w:r>
            <w:r>
              <w:rPr>
                <w:rStyle w:val="11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得分。</w:t>
            </w:r>
          </w:p>
        </w:tc>
      </w:tr>
      <w:tr w14:paraId="12A96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1ADC9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96042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F3507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财务保障</w:t>
            </w:r>
          </w:p>
          <w:p w14:paraId="09FADA89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10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9FC80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严格执行《民间非营利组织会计制度》（</w:t>
            </w:r>
            <w:r>
              <w:rPr>
                <w:rStyle w:val="10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091278E4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规范设置会计科目、账册、凭单、内外部报表、记账规范、会计核算规范</w:t>
            </w:r>
          </w:p>
          <w:p w14:paraId="539EF7C7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11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注：以上各项，</w:t>
            </w:r>
            <w:r>
              <w:rPr>
                <w:rStyle w:val="12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11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项不符合扣</w:t>
            </w:r>
            <w:r>
              <w:rPr>
                <w:rStyle w:val="12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11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分，扣完为止。</w:t>
            </w:r>
          </w:p>
          <w:p w14:paraId="382EBD8A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有专职的专业会计人员（</w:t>
            </w:r>
            <w:r>
              <w:rPr>
                <w:rStyle w:val="10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3C71F9F0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会计核算实行电算化（</w:t>
            </w:r>
            <w:r>
              <w:rPr>
                <w:rStyle w:val="10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55CC04CA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Times New Roman" w:hAnsi="Times New Roman" w:eastAsia="等线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会计档案管理规范（</w:t>
            </w:r>
            <w:r>
              <w:rPr>
                <w:rStyle w:val="10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</w:tr>
      <w:tr w14:paraId="191FD2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9DE13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263F7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14FAF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财务管理</w:t>
            </w:r>
          </w:p>
          <w:p w14:paraId="43CA1929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10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C9968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编制年度预算且严格执行（</w:t>
            </w:r>
            <w:r>
              <w:rPr>
                <w:rStyle w:val="10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3C3294CD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经费来源和资金使用符合章程规定（</w:t>
            </w:r>
            <w:r>
              <w:rPr>
                <w:rStyle w:val="10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6B22A994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11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注：经费来源和资金使用不符合法规和章程规定的，不予评为3A（含）以上等级。</w:t>
            </w:r>
          </w:p>
          <w:p w14:paraId="1B86C6F4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按规定办理税务登记和申报（</w:t>
            </w:r>
            <w:r>
              <w:rPr>
                <w:rStyle w:val="10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00339D4C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规范使用各类票据（</w:t>
            </w:r>
            <w:r>
              <w:rPr>
                <w:rStyle w:val="10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187AD6AF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资产管理合规（</w:t>
            </w:r>
            <w:r>
              <w:rPr>
                <w:rStyle w:val="10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6162CDB6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Times New Roman" w:hAnsi="Times New Roman" w:eastAsia="等线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6.</w:t>
            </w: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按规定向会员大会、理事会报告社会组织财务状况（</w:t>
            </w:r>
            <w:r>
              <w:rPr>
                <w:rStyle w:val="10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</w:tr>
      <w:tr w14:paraId="4E7896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526D4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7B541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内部治理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B98EF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监督审计</w:t>
            </w:r>
          </w:p>
          <w:p w14:paraId="18B551C0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10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B7BFF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换届、离任审计完整、合规（</w:t>
            </w:r>
            <w:r>
              <w:rPr>
                <w:rStyle w:val="10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47944FAF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11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注：未发生换届、法定代表人离任，不扣分。</w:t>
            </w:r>
          </w:p>
          <w:p w14:paraId="73B1AE65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Times New Roman" w:hAnsi="Times New Roman" w:eastAsia="等线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对经审计发现的问题按规定及时整改（</w:t>
            </w:r>
            <w:r>
              <w:rPr>
                <w:rStyle w:val="10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</w:tr>
      <w:tr w14:paraId="372BCE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C9772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3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86209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工作绩效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226AE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服务国家</w:t>
            </w:r>
          </w:p>
          <w:p w14:paraId="64E80F08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10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A171E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参加政府（部门）听证会、座谈会或参与政府主导相关课题研究（</w:t>
            </w:r>
            <w:r>
              <w:rPr>
                <w:rStyle w:val="10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7DF8F549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参与制定国家、省级政策。参与制定国家政策得</w:t>
            </w:r>
            <w:r>
              <w:rPr>
                <w:rStyle w:val="10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分，省级政策得</w:t>
            </w:r>
            <w:r>
              <w:rPr>
                <w:rStyle w:val="10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分（</w:t>
            </w:r>
            <w:r>
              <w:rPr>
                <w:rStyle w:val="10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35E5194E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参与制定国家、行业、地方标准或制定团体标准且在全国标准化信息公共服务平台发布（</w:t>
            </w:r>
            <w:r>
              <w:rPr>
                <w:rStyle w:val="10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1422BFC9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Times New Roman" w:hAnsi="Times New Roman" w:eastAsia="等线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结合本社会组织自身优势特长推动会员参与乡村振兴、对口支援协作、长江经济带发展、长三角一体化发展等国家战略及重大决策部署，并主导实施项目的（</w:t>
            </w:r>
            <w:r>
              <w:rPr>
                <w:rStyle w:val="10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</w:tr>
      <w:tr w14:paraId="5C5FA1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15AF6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3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3C63E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9C04A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服务社会</w:t>
            </w:r>
          </w:p>
          <w:p w14:paraId="7C3DFA44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10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AE17C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通过各类方式组织专业人员服务人民群众（</w:t>
            </w:r>
            <w:r>
              <w:rPr>
                <w:rStyle w:val="10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7AACCCE1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Times New Roman" w:hAnsi="Times New Roman" w:eastAsia="等线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通过宣传普及、展览展示等方式向社会展现发展成果，且未违规开展评比达标表彰（</w:t>
            </w:r>
            <w:r>
              <w:rPr>
                <w:rStyle w:val="10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</w:tr>
      <w:tr w14:paraId="677C89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AD62B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3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B3B1D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BB218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服务会员</w:t>
            </w:r>
          </w:p>
          <w:p w14:paraId="4F0FE8BF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10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70D1F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开展各类业务交流活动（</w:t>
            </w:r>
            <w:r>
              <w:rPr>
                <w:rStyle w:val="10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5688A98E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搭建交流平台，提供信息交换、共享服务（</w:t>
            </w:r>
            <w:r>
              <w:rPr>
                <w:rStyle w:val="10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019BFBF3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Times New Roman" w:hAnsi="Times New Roman" w:eastAsia="等线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提供技术、经济、管理、法律等方面咨询服务（</w:t>
            </w:r>
            <w:r>
              <w:rPr>
                <w:rStyle w:val="10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</w:tr>
      <w:tr w14:paraId="7D318C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9DE3E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3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BDEDA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FA0DB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信息公开</w:t>
            </w:r>
          </w:p>
          <w:p w14:paraId="6FE1024E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10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25D25">
            <w:pPr>
              <w:overflowPunct w:val="0"/>
              <w:topLinePunct/>
              <w:adjustRightInd w:val="0"/>
              <w:snapToGrid w:val="0"/>
              <w:spacing w:line="320" w:lineRule="exact"/>
              <w:textAlignment w:val="center"/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面向社会公开下列内容：法人登记证书；经核准的章程；组织机构设置；负责人、理事会及监事会成员名单；接受国家拨款或者社会捐赠、资助的资金使用情况；接受政府职能委托、授权、转移情况；收费标准（</w:t>
            </w:r>
            <w:r>
              <w:rPr>
                <w:rStyle w:val="10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3A66535C">
            <w:pPr>
              <w:overflowPunct w:val="0"/>
              <w:topLinePunct/>
              <w:adjustRightInd w:val="0"/>
              <w:snapToGrid w:val="0"/>
              <w:spacing w:line="320" w:lineRule="exact"/>
              <w:textAlignment w:val="center"/>
              <w:rPr>
                <w:rFonts w:ascii="Times New Roman" w:hAnsi="Times New Roman" w:eastAsia="等线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面向会员公开下列内容：会员（会员代表）大会、理事会（常务理事会）、监事会的决议；半年、年度财务报告；会员名册；理事会、监事会年度工作报告；会费收取与使用管理情况；其他重大活动情况（</w:t>
            </w:r>
            <w:r>
              <w:rPr>
                <w:rStyle w:val="10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</w:tr>
      <w:tr w14:paraId="1AD4DC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7" w:hRule="atLeast"/>
          <w:jc w:val="center"/>
        </w:trPr>
        <w:tc>
          <w:tcPr>
            <w:tcW w:w="9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9B3CD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3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BD115">
            <w:pPr>
              <w:overflowPunct w:val="0"/>
              <w:topLinePunct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工作绩效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3F2E6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特色工作</w:t>
            </w:r>
          </w:p>
          <w:p w14:paraId="06584D66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适用于学术性</w:t>
            </w:r>
          </w:p>
          <w:p w14:paraId="55DD1485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社会团体</w:t>
            </w:r>
          </w:p>
          <w:p w14:paraId="5C3DEA07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10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17D74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制定学术规划，对学科未来发展有较强的指导作用（</w:t>
            </w:r>
            <w:r>
              <w:rPr>
                <w:rStyle w:val="10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2B85A40C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组织召开学术会议，相关论文、资料汇编成册（</w:t>
            </w:r>
            <w:r>
              <w:rPr>
                <w:rStyle w:val="10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20B1B3BB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利用本社会组织网站或新媒体平台开展学术交流（</w:t>
            </w:r>
            <w:r>
              <w:rPr>
                <w:rStyle w:val="10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306DE250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有定期出版物（有国内统一刊号或内部资料性印刷品准印证）（</w:t>
            </w:r>
            <w:r>
              <w:rPr>
                <w:rStyle w:val="10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1B202791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提供学术成果（科技成果）评价服务（</w:t>
            </w:r>
            <w:r>
              <w:rPr>
                <w:rStyle w:val="10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0BDA4BEB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6.</w:t>
            </w: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有规范的学术自律制度并实施（</w:t>
            </w:r>
            <w:r>
              <w:rPr>
                <w:rStyle w:val="10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72395E32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Times New Roman" w:hAnsi="Times New Roman" w:eastAsia="等线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7.</w:t>
            </w: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组织专业人员开展科学普及活动（</w:t>
            </w:r>
            <w:r>
              <w:rPr>
                <w:rStyle w:val="10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</w:tr>
      <w:tr w14:paraId="2A7190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6" w:hRule="atLeast"/>
          <w:jc w:val="center"/>
        </w:trPr>
        <w:tc>
          <w:tcPr>
            <w:tcW w:w="9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92463">
            <w:pPr>
              <w:overflowPunct w:val="0"/>
              <w:topLinePunct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68224">
            <w:pPr>
              <w:overflowPunct w:val="0"/>
              <w:topLinePunct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1462C">
            <w:pPr>
              <w:overflowPunct w:val="0"/>
              <w:topLinePunct/>
              <w:adjustRightInd w:val="0"/>
              <w:snapToGrid w:val="0"/>
              <w:spacing w:line="280" w:lineRule="exact"/>
              <w:jc w:val="center"/>
              <w:textAlignment w:val="center"/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特色工作</w:t>
            </w:r>
          </w:p>
          <w:p w14:paraId="19CD02B0">
            <w:pPr>
              <w:overflowPunct w:val="0"/>
              <w:topLinePunct/>
              <w:adjustRightInd w:val="0"/>
              <w:snapToGrid w:val="0"/>
              <w:spacing w:line="280" w:lineRule="exact"/>
              <w:jc w:val="center"/>
              <w:textAlignment w:val="center"/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适用于行业性</w:t>
            </w:r>
          </w:p>
          <w:p w14:paraId="0045C4D6">
            <w:pPr>
              <w:overflowPunct w:val="0"/>
              <w:topLinePunct/>
              <w:adjustRightInd w:val="0"/>
              <w:snapToGrid w:val="0"/>
              <w:spacing w:line="280" w:lineRule="exact"/>
              <w:jc w:val="center"/>
              <w:textAlignment w:val="center"/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社会团体</w:t>
            </w:r>
          </w:p>
          <w:p w14:paraId="7E0F25F5">
            <w:pPr>
              <w:overflowPunct w:val="0"/>
              <w:topLinePunct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10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321EC">
            <w:pPr>
              <w:overflowPunct w:val="0"/>
              <w:topLinePunct/>
              <w:adjustRightInd w:val="0"/>
              <w:snapToGrid w:val="0"/>
              <w:spacing w:line="280" w:lineRule="exact"/>
              <w:jc w:val="left"/>
              <w:textAlignment w:val="center"/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建立重大突发公共事件参与机制并发挥作用（</w:t>
            </w:r>
            <w:r>
              <w:rPr>
                <w:rStyle w:val="10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07D30BB1">
            <w:pPr>
              <w:overflowPunct w:val="0"/>
              <w:topLinePunct/>
              <w:adjustRightInd w:val="0"/>
              <w:snapToGrid w:val="0"/>
              <w:spacing w:line="280" w:lineRule="exact"/>
              <w:jc w:val="left"/>
              <w:textAlignment w:val="center"/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组织开展或配合有关部门开展打击假冒伪劣，维护消费者权益活动（</w:t>
            </w:r>
            <w:r>
              <w:rPr>
                <w:rStyle w:val="10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0B9CFB1F">
            <w:pPr>
              <w:overflowPunct w:val="0"/>
              <w:topLinePunct/>
              <w:adjustRightInd w:val="0"/>
              <w:snapToGrid w:val="0"/>
              <w:spacing w:line="280" w:lineRule="exact"/>
              <w:jc w:val="left"/>
              <w:textAlignment w:val="center"/>
              <w:rPr>
                <w:rStyle w:val="19"/>
                <w:rFonts w:hint="default" w:ascii="Times New Roman" w:hAnsi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6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Style w:val="19"/>
                <w:rFonts w:hint="default" w:ascii="Times New Roman" w:hAnsi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制定行业公约或自律规约，依法保护各类经营主体平等准入权利（</w:t>
            </w:r>
            <w:r>
              <w:rPr>
                <w:rStyle w:val="16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19"/>
                <w:rFonts w:hint="default" w:ascii="Times New Roman" w:hAnsi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60319353">
            <w:pPr>
              <w:overflowPunct w:val="0"/>
              <w:topLinePunct/>
              <w:adjustRightInd w:val="0"/>
              <w:snapToGrid w:val="0"/>
              <w:spacing w:line="280" w:lineRule="exact"/>
              <w:jc w:val="left"/>
              <w:textAlignment w:val="center"/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组织开展资质认证、新产品鉴定、事故认定工作（</w:t>
            </w:r>
            <w:r>
              <w:rPr>
                <w:rStyle w:val="10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14E84A47">
            <w:pPr>
              <w:overflowPunct w:val="0"/>
              <w:topLinePunct/>
              <w:adjustRightInd w:val="0"/>
              <w:snapToGrid w:val="0"/>
              <w:spacing w:line="280" w:lineRule="exact"/>
              <w:jc w:val="left"/>
              <w:textAlignment w:val="center"/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常态化、制度化开展相关业务活动（</w:t>
            </w:r>
            <w:r>
              <w:rPr>
                <w:rStyle w:val="10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0FA36090">
            <w:pPr>
              <w:overflowPunct w:val="0"/>
              <w:topLinePunct/>
              <w:adjustRightInd w:val="0"/>
              <w:snapToGrid w:val="0"/>
              <w:spacing w:line="280" w:lineRule="exact"/>
              <w:jc w:val="left"/>
              <w:textAlignment w:val="center"/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6.</w:t>
            </w: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制定行业争议处理规则，建立行业申诉应诉机制，参与社会纠纷和矛盾化解（</w:t>
            </w:r>
            <w:r>
              <w:rPr>
                <w:rStyle w:val="10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1E4C7F0F">
            <w:pPr>
              <w:overflowPunct w:val="0"/>
              <w:topLinePunct/>
              <w:adjustRightInd w:val="0"/>
              <w:snapToGrid w:val="0"/>
              <w:spacing w:line="280" w:lineRule="exact"/>
              <w:jc w:val="left"/>
              <w:textAlignment w:val="center"/>
              <w:rPr>
                <w:rFonts w:ascii="Times New Roman" w:hAnsi="Times New Roman" w:eastAsia="等线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7.</w:t>
            </w: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设立新闻发言人并举行新闻发布会</w:t>
            </w:r>
            <w:r>
              <w:rPr>
                <w:rStyle w:val="13"/>
                <w:rFonts w:hint="default" w:ascii="Times New Roman" w:hAnsi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10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13"/>
                <w:rFonts w:hint="default" w:ascii="Times New Roman" w:hAnsi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</w:tr>
      <w:tr w14:paraId="784A88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D9615">
            <w:pPr>
              <w:overflowPunct w:val="0"/>
              <w:topLinePunct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等线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9218E">
            <w:pPr>
              <w:overflowPunct w:val="0"/>
              <w:topLinePunct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576D8">
            <w:pPr>
              <w:overflowPunct w:val="0"/>
              <w:topLinePunct/>
              <w:adjustRightInd w:val="0"/>
              <w:snapToGrid w:val="0"/>
              <w:spacing w:line="280" w:lineRule="exact"/>
              <w:jc w:val="center"/>
              <w:textAlignment w:val="center"/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特色工作</w:t>
            </w:r>
          </w:p>
          <w:p w14:paraId="13F115D8">
            <w:pPr>
              <w:overflowPunct w:val="0"/>
              <w:topLinePunct/>
              <w:adjustRightInd w:val="0"/>
              <w:snapToGrid w:val="0"/>
              <w:spacing w:line="280" w:lineRule="exact"/>
              <w:jc w:val="center"/>
              <w:textAlignment w:val="center"/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适用于专业性</w:t>
            </w:r>
          </w:p>
          <w:p w14:paraId="78A44F70">
            <w:pPr>
              <w:overflowPunct w:val="0"/>
              <w:topLinePunct/>
              <w:adjustRightInd w:val="0"/>
              <w:snapToGrid w:val="0"/>
              <w:spacing w:line="280" w:lineRule="exact"/>
              <w:jc w:val="center"/>
              <w:textAlignment w:val="center"/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社会团体</w:t>
            </w:r>
          </w:p>
          <w:p w14:paraId="18E11AAE">
            <w:pPr>
              <w:overflowPunct w:val="0"/>
              <w:topLinePunct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10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86B1C">
            <w:pPr>
              <w:overflowPunct w:val="0"/>
              <w:topLinePunct/>
              <w:adjustRightInd w:val="0"/>
              <w:snapToGrid w:val="0"/>
              <w:spacing w:line="280" w:lineRule="exact"/>
              <w:jc w:val="left"/>
              <w:textAlignment w:val="center"/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组织研讨会、考察、赛事等活动（</w:t>
            </w:r>
            <w:r>
              <w:rPr>
                <w:rStyle w:val="10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600EE71C">
            <w:pPr>
              <w:overflowPunct w:val="0"/>
              <w:topLinePunct/>
              <w:adjustRightInd w:val="0"/>
              <w:snapToGrid w:val="0"/>
              <w:spacing w:line="280" w:lineRule="exact"/>
              <w:jc w:val="left"/>
              <w:textAlignment w:val="center"/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在扶贫助困、文化保护、社会救助、环境治理、科学普及、全民健身等领域开展公益活动（</w:t>
            </w:r>
            <w:r>
              <w:rPr>
                <w:rStyle w:val="10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00D4AD25">
            <w:pPr>
              <w:overflowPunct w:val="0"/>
              <w:topLinePunct/>
              <w:adjustRightInd w:val="0"/>
              <w:snapToGrid w:val="0"/>
              <w:spacing w:line="280" w:lineRule="exact"/>
              <w:jc w:val="left"/>
              <w:textAlignment w:val="center"/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建立重大突发公共事件参与机制并发挥作用（</w:t>
            </w:r>
            <w:r>
              <w:rPr>
                <w:rStyle w:val="10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737A9723">
            <w:pPr>
              <w:overflowPunct w:val="0"/>
              <w:topLinePunct/>
              <w:adjustRightInd w:val="0"/>
              <w:snapToGrid w:val="0"/>
              <w:spacing w:line="280" w:lineRule="exact"/>
              <w:jc w:val="left"/>
              <w:textAlignment w:val="center"/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建立网站、刊物、公众号等宣传载体，并通过媒体开展有效宣传服务（</w:t>
            </w:r>
            <w:r>
              <w:rPr>
                <w:rStyle w:val="10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18F64DD0">
            <w:pPr>
              <w:overflowPunct w:val="0"/>
              <w:topLinePunct/>
              <w:adjustRightInd w:val="0"/>
              <w:snapToGrid w:val="0"/>
              <w:spacing w:line="280" w:lineRule="exact"/>
              <w:jc w:val="left"/>
              <w:textAlignment w:val="center"/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制定详细规范的职业道德准则，并推动实施（</w:t>
            </w:r>
            <w:r>
              <w:rPr>
                <w:rStyle w:val="10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1587DE9E">
            <w:pPr>
              <w:overflowPunct w:val="0"/>
              <w:topLinePunct/>
              <w:adjustRightInd w:val="0"/>
              <w:snapToGrid w:val="0"/>
              <w:spacing w:line="280" w:lineRule="exact"/>
              <w:jc w:val="left"/>
              <w:textAlignment w:val="center"/>
              <w:rPr>
                <w:rFonts w:ascii="Times New Roman" w:hAnsi="Times New Roman" w:eastAsia="等线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6.</w:t>
            </w: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制定详细完善的执业准则，并推动实施（</w:t>
            </w:r>
            <w:r>
              <w:rPr>
                <w:rStyle w:val="10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</w:tr>
      <w:tr w14:paraId="5D6957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atLeast"/>
          <w:jc w:val="center"/>
        </w:trPr>
        <w:tc>
          <w:tcPr>
            <w:tcW w:w="94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12595">
            <w:pPr>
              <w:overflowPunct w:val="0"/>
              <w:topLinePunct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等线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35973">
            <w:pPr>
              <w:overflowPunct w:val="0"/>
              <w:topLinePunct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F90EB">
            <w:pPr>
              <w:overflowPunct w:val="0"/>
              <w:topLinePunct/>
              <w:adjustRightInd w:val="0"/>
              <w:snapToGrid w:val="0"/>
              <w:spacing w:line="280" w:lineRule="exact"/>
              <w:jc w:val="center"/>
              <w:textAlignment w:val="center"/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特色工作</w:t>
            </w:r>
          </w:p>
          <w:p w14:paraId="6666D72C">
            <w:pPr>
              <w:overflowPunct w:val="0"/>
              <w:topLinePunct/>
              <w:adjustRightInd w:val="0"/>
              <w:snapToGrid w:val="0"/>
              <w:spacing w:line="280" w:lineRule="exact"/>
              <w:jc w:val="center"/>
              <w:textAlignment w:val="center"/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适用于联合性</w:t>
            </w:r>
          </w:p>
          <w:p w14:paraId="4AF3F7C6">
            <w:pPr>
              <w:overflowPunct w:val="0"/>
              <w:topLinePunct/>
              <w:adjustRightInd w:val="0"/>
              <w:snapToGrid w:val="0"/>
              <w:spacing w:line="280" w:lineRule="exact"/>
              <w:jc w:val="center"/>
              <w:textAlignment w:val="center"/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社会团体</w:t>
            </w:r>
          </w:p>
          <w:p w14:paraId="23A65A03">
            <w:pPr>
              <w:overflowPunct w:val="0"/>
              <w:topLinePunct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10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B785A">
            <w:pPr>
              <w:overflowPunct w:val="0"/>
              <w:topLinePunct/>
              <w:adjustRightInd w:val="0"/>
              <w:snapToGrid w:val="0"/>
              <w:spacing w:line="280" w:lineRule="exact"/>
              <w:jc w:val="left"/>
              <w:textAlignment w:val="center"/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建立重大突发公共事件参与机制并发挥作用（</w:t>
            </w:r>
            <w:r>
              <w:rPr>
                <w:rStyle w:val="10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0D734208">
            <w:pPr>
              <w:overflowPunct w:val="0"/>
              <w:topLinePunct/>
              <w:adjustRightInd w:val="0"/>
              <w:snapToGrid w:val="0"/>
              <w:spacing w:line="280" w:lineRule="exact"/>
              <w:jc w:val="left"/>
              <w:textAlignment w:val="center"/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开展的项目社会效益明显，得到媒体宣传报道（</w:t>
            </w:r>
            <w:r>
              <w:rPr>
                <w:rStyle w:val="10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67C42C08">
            <w:pPr>
              <w:overflowPunct w:val="0"/>
              <w:topLinePunct/>
              <w:adjustRightInd w:val="0"/>
              <w:snapToGrid w:val="0"/>
              <w:spacing w:line="280" w:lineRule="exact"/>
              <w:jc w:val="left"/>
              <w:textAlignment w:val="center"/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制定自律公约或准则，开展自律性管理活动（</w:t>
            </w:r>
            <w:r>
              <w:rPr>
                <w:rStyle w:val="10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36EF8F16">
            <w:pPr>
              <w:overflowPunct w:val="0"/>
              <w:topLinePunct/>
              <w:adjustRightInd w:val="0"/>
              <w:snapToGrid w:val="0"/>
              <w:spacing w:line="280" w:lineRule="exact"/>
              <w:jc w:val="left"/>
              <w:textAlignment w:val="center"/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建立健全项目管理制度，规范制定项目运作方案并签订合同（</w:t>
            </w:r>
            <w:r>
              <w:rPr>
                <w:rStyle w:val="10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0CD9BC8E">
            <w:pPr>
              <w:overflowPunct w:val="0"/>
              <w:topLinePunct/>
              <w:adjustRightInd w:val="0"/>
              <w:snapToGrid w:val="0"/>
              <w:spacing w:line="280" w:lineRule="exact"/>
              <w:jc w:val="left"/>
              <w:textAlignment w:val="center"/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建设网站、公众号等媒介并进行运维、宣传（</w:t>
            </w:r>
            <w:r>
              <w:rPr>
                <w:rStyle w:val="10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685114C3">
            <w:pPr>
              <w:overflowPunct w:val="0"/>
              <w:topLinePunct/>
              <w:adjustRightInd w:val="0"/>
              <w:snapToGrid w:val="0"/>
              <w:spacing w:line="280" w:lineRule="exact"/>
              <w:jc w:val="left"/>
              <w:textAlignment w:val="center"/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6.</w:t>
            </w: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组织与其他社会组织开展合作交流（</w:t>
            </w:r>
            <w:r>
              <w:rPr>
                <w:rStyle w:val="10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1D2FE63A">
            <w:pPr>
              <w:overflowPunct w:val="0"/>
              <w:topLinePunct/>
              <w:adjustRightInd w:val="0"/>
              <w:snapToGrid w:val="0"/>
              <w:spacing w:line="280" w:lineRule="exact"/>
              <w:jc w:val="left"/>
              <w:textAlignment w:val="center"/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7.</w:t>
            </w: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组织或参与扶贫助困、文化保护、社会救助、环境治理、科学普及等领域公益活动（</w:t>
            </w:r>
            <w:r>
              <w:rPr>
                <w:rStyle w:val="10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418F1AFF">
            <w:pPr>
              <w:overflowPunct w:val="0"/>
              <w:topLinePunct/>
              <w:adjustRightInd w:val="0"/>
              <w:snapToGrid w:val="0"/>
              <w:spacing w:line="280" w:lineRule="exact"/>
              <w:jc w:val="left"/>
              <w:textAlignment w:val="center"/>
              <w:rPr>
                <w:rFonts w:ascii="Times New Roman" w:hAnsi="Times New Roman" w:eastAsia="等线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8.</w:t>
            </w: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倡导会员履行社会责任，利用相关领域优势服务社会公众（</w:t>
            </w:r>
            <w:r>
              <w:rPr>
                <w:rStyle w:val="10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</w:tr>
      <w:tr w14:paraId="554058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92C59">
            <w:pPr>
              <w:overflowPunct w:val="0"/>
              <w:topLinePunct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3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AC5D3">
            <w:pPr>
              <w:overflowPunct w:val="0"/>
              <w:topLinePunct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社会评价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D5327">
            <w:pPr>
              <w:overflowPunct w:val="0"/>
              <w:topLinePunct/>
              <w:adjustRightInd w:val="0"/>
              <w:snapToGrid w:val="0"/>
              <w:spacing w:line="280" w:lineRule="exact"/>
              <w:jc w:val="center"/>
              <w:textAlignment w:val="center"/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会员评价</w:t>
            </w:r>
          </w:p>
          <w:p w14:paraId="6D48139B">
            <w:pPr>
              <w:overflowPunct w:val="0"/>
              <w:topLinePunct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10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66F2C">
            <w:pPr>
              <w:overflowPunct w:val="0"/>
              <w:topLinePunct/>
              <w:adjustRightInd w:val="0"/>
              <w:snapToGrid w:val="0"/>
              <w:spacing w:line="280" w:lineRule="exact"/>
              <w:jc w:val="left"/>
              <w:textAlignment w:val="center"/>
              <w:rPr>
                <w:rFonts w:ascii="Times New Roman" w:hAnsi="Times New Roman" w:eastAsia="等线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对管理状况、综合影响力的评价，评价内容包括对召开会员（代表）大会</w:t>
            </w:r>
            <w:r>
              <w:rPr>
                <w:rStyle w:val="10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（常务）理事会情况、民主选举情况、民主办会情况、信息公开、接受会员监督、会费管理等内容的评价（</w:t>
            </w:r>
            <w:r>
              <w:rPr>
                <w:rStyle w:val="10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</w:tr>
      <w:tr w14:paraId="113AD2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5B3B3">
            <w:pPr>
              <w:overflowPunct w:val="0"/>
              <w:topLinePunct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D8475">
            <w:pPr>
              <w:overflowPunct w:val="0"/>
              <w:topLinePunct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等线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93C49">
            <w:pPr>
              <w:overflowPunct w:val="0"/>
              <w:topLinePunct/>
              <w:adjustRightInd w:val="0"/>
              <w:snapToGrid w:val="0"/>
              <w:spacing w:line="280" w:lineRule="exact"/>
              <w:jc w:val="center"/>
              <w:textAlignment w:val="center"/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6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业务主管单位</w:t>
            </w:r>
          </w:p>
          <w:p w14:paraId="1C361B16">
            <w:pPr>
              <w:overflowPunct w:val="0"/>
              <w:topLinePunct/>
              <w:adjustRightInd w:val="0"/>
              <w:snapToGrid w:val="0"/>
              <w:spacing w:line="280" w:lineRule="exact"/>
              <w:jc w:val="center"/>
              <w:textAlignment w:val="center"/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评价</w:t>
            </w:r>
          </w:p>
          <w:p w14:paraId="2C328FBA">
            <w:pPr>
              <w:overflowPunct w:val="0"/>
              <w:topLinePunct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10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89D4A">
            <w:pPr>
              <w:overflowPunct w:val="0"/>
              <w:topLinePunct/>
              <w:adjustRightInd w:val="0"/>
              <w:snapToGrid w:val="0"/>
              <w:spacing w:line="280" w:lineRule="exact"/>
              <w:jc w:val="left"/>
              <w:textAlignment w:val="center"/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由业务主管单位对社会团体工作进行总体评价（</w:t>
            </w:r>
            <w:r>
              <w:rPr>
                <w:rStyle w:val="10"/>
                <w:rFonts w:hint="eastAsia"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5235B7E6">
            <w:pPr>
              <w:overflowPunct w:val="0"/>
              <w:topLinePunct/>
              <w:adjustRightInd w:val="0"/>
              <w:snapToGrid w:val="0"/>
              <w:spacing w:line="28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注：已脱钩或直接登记的社会团体，由党建工作机构（或其授权的行业党委、属地党组织）进行评价。</w:t>
            </w:r>
          </w:p>
        </w:tc>
      </w:tr>
      <w:tr w14:paraId="433191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10EA6">
            <w:pPr>
              <w:overflowPunct w:val="0"/>
              <w:topLinePunct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79BC7">
            <w:pPr>
              <w:overflowPunct w:val="0"/>
              <w:topLinePunct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等线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9147E">
            <w:pPr>
              <w:overflowPunct w:val="0"/>
              <w:topLinePunct/>
              <w:adjustRightInd w:val="0"/>
              <w:snapToGrid w:val="0"/>
              <w:spacing w:line="280" w:lineRule="exact"/>
              <w:jc w:val="center"/>
              <w:textAlignment w:val="center"/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品牌建设情况</w:t>
            </w:r>
          </w:p>
          <w:p w14:paraId="162CB707">
            <w:pPr>
              <w:overflowPunct w:val="0"/>
              <w:topLinePunct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10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401B9">
            <w:pPr>
              <w:overflowPunct w:val="0"/>
              <w:topLinePunct/>
              <w:adjustRightInd w:val="0"/>
              <w:snapToGrid w:val="0"/>
              <w:spacing w:line="280" w:lineRule="exact"/>
              <w:jc w:val="left"/>
              <w:textAlignment w:val="center"/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社会团体主导的品牌（合作、科研）项目取得国家级、省级奖励（</w:t>
            </w:r>
            <w:r>
              <w:rPr>
                <w:rStyle w:val="10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0.5</w:t>
            </w: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27607745">
            <w:pPr>
              <w:overflowPunct w:val="0"/>
              <w:topLinePunct/>
              <w:adjustRightInd w:val="0"/>
              <w:snapToGrid w:val="0"/>
              <w:spacing w:line="280" w:lineRule="exact"/>
              <w:jc w:val="left"/>
              <w:textAlignment w:val="center"/>
              <w:rPr>
                <w:rFonts w:ascii="Times New Roman" w:hAnsi="Times New Roman" w:eastAsia="等线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注册商标或权威媒体对于社会团体服务品牌的正面报道（</w:t>
            </w:r>
            <w:r>
              <w:rPr>
                <w:rStyle w:val="10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0.5</w:t>
            </w:r>
            <w:r>
              <w:rPr>
                <w:rStyle w:val="9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</w:tr>
      <w:tr w14:paraId="3CA1DE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1BB0EC">
            <w:pPr>
              <w:overflowPunct w:val="0"/>
              <w:topLinePunct/>
              <w:adjustRightInd w:val="0"/>
              <w:snapToGrid w:val="0"/>
              <w:spacing w:line="280" w:lineRule="exact"/>
              <w:jc w:val="left"/>
              <w:textAlignment w:val="center"/>
              <w:rPr>
                <w:rStyle w:val="20"/>
                <w:rFonts w:hint="default" w:ascii="Times New Roman" w:hAnsi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0"/>
                <w:rFonts w:hint="default" w:ascii="Times New Roman" w:hAnsi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注：</w:t>
            </w:r>
            <w:r>
              <w:rPr>
                <w:rStyle w:val="20"/>
                <w:rFonts w:ascii="Times New Roman" w:hAnsi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Style w:val="20"/>
                <w:rFonts w:hint="default" w:ascii="Times New Roman" w:hAnsi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加</w:t>
            </w:r>
            <w:r>
              <w:rPr>
                <w:rStyle w:val="16"/>
                <w:rFonts w:eastAsia="方正楷体_GBK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Style w:val="20"/>
                <w:rFonts w:hint="default" w:ascii="Times New Roman" w:hAnsi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项指标无需社会组织提供材料</w:t>
            </w:r>
            <w:r>
              <w:rPr>
                <w:rStyle w:val="20"/>
                <w:rFonts w:ascii="Times New Roman" w:hAnsi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0D3E5BEF">
            <w:pPr>
              <w:overflowPunct w:val="0"/>
              <w:topLinePunct/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Style w:val="20"/>
                <w:rFonts w:hint="default" w:ascii="Times New Roman" w:hAnsi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Style w:val="20"/>
                <w:rFonts w:ascii="Times New Roman" w:hAnsi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2.指标第16项分为四类，每一类指标适用于对应类型的社会团体。</w:t>
            </w:r>
          </w:p>
        </w:tc>
      </w:tr>
    </w:tbl>
    <w:p w14:paraId="6A556B7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DA5758CF">
    <w:panose1 w:val="020B0703020204020201"/>
    <w:charset w:val="86"/>
    <w:family w:val="auto"/>
    <w:pitch w:val="default"/>
    <w:sig w:usb0="00000001" w:usb1="00000000" w:usb2="00000000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KSOFEC83043A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21A05E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1D1"/>
    <w:rsid w:val="00602F99"/>
    <w:rsid w:val="00EB01D1"/>
    <w:rsid w:val="00F54D47"/>
    <w:rsid w:val="00F728D2"/>
    <w:rsid w:val="10A30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character" w:customStyle="1" w:styleId="8">
    <w:name w:val="font121"/>
    <w:basedOn w:val="5"/>
    <w:qFormat/>
    <w:uiPriority w:val="0"/>
    <w:rPr>
      <w:rFonts w:hint="eastAsia" w:ascii="方正黑体_GBK" w:hAnsi="方正黑体_GBK" w:eastAsia="方正黑体_GBK" w:cs="方正黑体_GBK"/>
      <w:color w:val="000000"/>
      <w:sz w:val="24"/>
      <w:szCs w:val="24"/>
      <w:u w:val="none"/>
    </w:rPr>
  </w:style>
  <w:style w:type="character" w:customStyle="1" w:styleId="9">
    <w:name w:val="font71"/>
    <w:basedOn w:val="5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0">
    <w:name w:val="font6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">
    <w:name w:val="font131"/>
    <w:basedOn w:val="5"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24"/>
      <w:szCs w:val="24"/>
      <w:u w:val="none"/>
    </w:rPr>
  </w:style>
  <w:style w:type="character" w:customStyle="1" w:styleId="12">
    <w:name w:val="font141"/>
    <w:basedOn w:val="5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13">
    <w:name w:val="font15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161"/>
    <w:basedOn w:val="5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5">
    <w:name w:val="font4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6">
    <w:name w:val="font81"/>
    <w:basedOn w:val="5"/>
    <w:qFormat/>
    <w:uiPriority w:val="0"/>
    <w:rPr>
      <w:rFonts w:hint="default" w:ascii="Times New Roman" w:hAnsi="Times New Roman" w:cs="Times New Roman"/>
      <w:color w:val="FF0000"/>
      <w:sz w:val="24"/>
      <w:szCs w:val="24"/>
      <w:u w:val="none"/>
    </w:rPr>
  </w:style>
  <w:style w:type="character" w:customStyle="1" w:styleId="17">
    <w:name w:val="font171"/>
    <w:basedOn w:val="5"/>
    <w:qFormat/>
    <w:uiPriority w:val="0"/>
    <w:rPr>
      <w:rFonts w:ascii="方正仿宋_GB2312" w:hAnsi="方正仿宋_GB2312" w:eastAsia="方正仿宋_GB2312" w:cs="方正仿宋_GB2312"/>
      <w:b/>
      <w:bCs/>
      <w:color w:val="000000"/>
      <w:sz w:val="24"/>
      <w:szCs w:val="24"/>
      <w:u w:val="none"/>
    </w:rPr>
  </w:style>
  <w:style w:type="character" w:customStyle="1" w:styleId="18">
    <w:name w:val="font181"/>
    <w:basedOn w:val="5"/>
    <w:qFormat/>
    <w:uiPriority w:val="0"/>
    <w:rPr>
      <w:rFonts w:hint="eastAsia" w:ascii="方正仿宋_GB2312" w:hAnsi="方正仿宋_GB2312" w:eastAsia="方正仿宋_GB2312" w:cs="方正仿宋_GB2312"/>
      <w:color w:val="000000"/>
      <w:sz w:val="24"/>
      <w:szCs w:val="24"/>
      <w:u w:val="none"/>
    </w:rPr>
  </w:style>
  <w:style w:type="character" w:customStyle="1" w:styleId="19">
    <w:name w:val="font201"/>
    <w:basedOn w:val="5"/>
    <w:qFormat/>
    <w:uiPriority w:val="0"/>
    <w:rPr>
      <w:rFonts w:hint="eastAsia" w:ascii="方正仿宋_GBK" w:hAnsi="方正仿宋_GBK" w:eastAsia="方正仿宋_GBK" w:cs="方正仿宋_GBK"/>
      <w:color w:val="FF0000"/>
      <w:sz w:val="24"/>
      <w:szCs w:val="24"/>
      <w:u w:val="none"/>
    </w:rPr>
  </w:style>
  <w:style w:type="character" w:customStyle="1" w:styleId="20">
    <w:name w:val="font91"/>
    <w:basedOn w:val="5"/>
    <w:qFormat/>
    <w:uiPriority w:val="0"/>
    <w:rPr>
      <w:rFonts w:hint="eastAsia" w:ascii="方正楷体_GBK" w:hAnsi="方正楷体_GBK" w:eastAsia="方正楷体_GBK" w:cs="方正楷体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3449</Words>
  <Characters>3559</Characters>
  <Lines>26</Lines>
  <Paragraphs>7</Paragraphs>
  <TotalTime>2</TotalTime>
  <ScaleCrop>false</ScaleCrop>
  <LinksUpToDate>false</LinksUpToDate>
  <CharactersWithSpaces>3559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2025-06-20T03:16:00Z</dcterms:created>
  <dc:creator>HP</dc:creator>
  <cp:lastModifiedBy>王琼</cp:lastModifiedBy>
  <dcterms:modified xsi:type="dcterms:W3CDTF">2026-04-28T07:27:31Z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eyJoZGlkIjoiNTMzZWUwNmEwZDkxMmQ5YmNjMzEwZDkzOTIzY2ZjY2QiLCJ1c2VySWQiOiIyNDEyMDk3MzcifQ==</vt:lpwstr>
  </property>
  <property fmtid="{D5CDD505-2E9C-101B-9397-08002B2CF9AE}" pid="3" name="KSOProductBuildVer">
    <vt:lpwstr>2052-12.1.0.25865</vt:lpwstr>
  </property>
  <property fmtid="{D5CDD505-2E9C-101B-9397-08002B2CF9AE}" pid="4" name="ICV">
    <vt:lpwstr>3783922DB7FC485EB6C8B37D51B4FD92_12</vt:lpwstr>
  </property>
</Properties>
</file>