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662DE">
      <w:pPr>
        <w:spacing w:line="600" w:lineRule="exact"/>
        <w:jc w:val="center"/>
        <w:rPr>
          <w:rFonts w:ascii="方正小标宋简体" w:eastAsia="方正小标宋简体"/>
          <w:sz w:val="44"/>
          <w:szCs w:val="44"/>
        </w:rPr>
      </w:pPr>
      <w:bookmarkStart w:id="0" w:name="_GoBack"/>
      <w:bookmarkEnd w:id="0"/>
      <w:r>
        <w:rPr>
          <w:rFonts w:hint="eastAsia" w:ascii="方正小标宋简体" w:eastAsia="方正小标宋简体"/>
          <w:sz w:val="44"/>
          <w:szCs w:val="44"/>
        </w:rPr>
        <w:t>南京市</w:t>
      </w:r>
      <w:r>
        <w:rPr>
          <w:rFonts w:hint="eastAsia" w:ascii="方正小标宋简体" w:eastAsia="方正小标宋简体"/>
          <w:sz w:val="44"/>
          <w:szCs w:val="44"/>
          <w:lang w:eastAsia="zh-CN"/>
        </w:rPr>
        <w:t>江宁区</w:t>
      </w:r>
      <w:r>
        <w:rPr>
          <w:rFonts w:hint="eastAsia" w:ascii="方正小标宋简体" w:eastAsia="方正小标宋简体"/>
          <w:sz w:val="44"/>
          <w:szCs w:val="44"/>
        </w:rPr>
        <w:t>交通运输局重大执法决定法制审核目录(试行)</w:t>
      </w:r>
    </w:p>
    <w:p w14:paraId="72D012E9">
      <w:pPr>
        <w:spacing w:line="600" w:lineRule="exact"/>
        <w:jc w:val="center"/>
        <w:rPr>
          <w:rFonts w:ascii="方正小标宋简体" w:eastAsia="方正小标宋简体"/>
          <w:sz w:val="44"/>
          <w:szCs w:val="44"/>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4546"/>
        <w:gridCol w:w="5314"/>
        <w:gridCol w:w="830"/>
        <w:gridCol w:w="991"/>
      </w:tblGrid>
      <w:tr w14:paraId="53C43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725" w:type="dxa"/>
            <w:vAlign w:val="center"/>
          </w:tcPr>
          <w:p w14:paraId="66F885CD">
            <w:pPr>
              <w:spacing w:line="600" w:lineRule="exact"/>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序号</w:t>
            </w:r>
          </w:p>
        </w:tc>
        <w:tc>
          <w:tcPr>
            <w:tcW w:w="4546" w:type="dxa"/>
            <w:vAlign w:val="center"/>
          </w:tcPr>
          <w:p w14:paraId="62BC96D1">
            <w:pPr>
              <w:spacing w:line="600" w:lineRule="exact"/>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重大执法决定事项名称</w:t>
            </w:r>
          </w:p>
        </w:tc>
        <w:tc>
          <w:tcPr>
            <w:tcW w:w="5314" w:type="dxa"/>
            <w:vAlign w:val="center"/>
          </w:tcPr>
          <w:p w14:paraId="412D0A0B">
            <w:pPr>
              <w:spacing w:line="600" w:lineRule="exact"/>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法律依据</w:t>
            </w:r>
          </w:p>
        </w:tc>
        <w:tc>
          <w:tcPr>
            <w:tcW w:w="830" w:type="dxa"/>
            <w:vAlign w:val="center"/>
          </w:tcPr>
          <w:p w14:paraId="123532A2">
            <w:pPr>
              <w:spacing w:line="600" w:lineRule="exact"/>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权力类别</w:t>
            </w:r>
          </w:p>
        </w:tc>
        <w:tc>
          <w:tcPr>
            <w:tcW w:w="991" w:type="dxa"/>
            <w:vAlign w:val="center"/>
          </w:tcPr>
          <w:p w14:paraId="3E8C7B7C">
            <w:pPr>
              <w:spacing w:line="600" w:lineRule="exact"/>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行政执法主体</w:t>
            </w:r>
          </w:p>
        </w:tc>
      </w:tr>
      <w:tr w14:paraId="75F0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725" w:type="dxa"/>
            <w:vAlign w:val="center"/>
          </w:tcPr>
          <w:p w14:paraId="24E76D29">
            <w:pPr>
              <w:pStyle w:val="12"/>
              <w:pageBreakBefore w:val="0"/>
              <w:widowControl w:val="0"/>
              <w:numPr>
                <w:ilvl w:val="0"/>
                <w:numId w:val="1"/>
              </w:numPr>
              <w:kinsoku/>
              <w:wordWrap/>
              <w:overflowPunct/>
              <w:topLinePunct w:val="0"/>
              <w:autoSpaceDE/>
              <w:autoSpaceDN/>
              <w:bidi w:val="0"/>
              <w:adjustRightInd w:val="0"/>
              <w:snapToGrid w:val="0"/>
              <w:spacing w:line="580" w:lineRule="exact"/>
              <w:ind w:left="0" w:firstLineChars="0"/>
              <w:jc w:val="both"/>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lang w:val="en-US" w:eastAsia="zh-CN"/>
              </w:rPr>
              <w:t xml:space="preserve">  1</w:t>
            </w:r>
          </w:p>
        </w:tc>
        <w:tc>
          <w:tcPr>
            <w:tcW w:w="4546" w:type="dxa"/>
            <w:vAlign w:val="center"/>
          </w:tcPr>
          <w:p w14:paraId="2A4EEA20">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未取得道路运输经营许可，擅自从事道路运输经营的处罚</w:t>
            </w:r>
          </w:p>
        </w:tc>
        <w:tc>
          <w:tcPr>
            <w:tcW w:w="5314" w:type="dxa"/>
            <w:vAlign w:val="center"/>
          </w:tcPr>
          <w:p w14:paraId="7E32A5E2">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《中华人民共和国道路运输条例》 （根据2023年7月20日《国务院关于修改和废止部分行政法规的决定》第五次修订）第六十三条 违反本条例的规定，有下列情形之一的，由县级以上地方人民政府交通运输主管部门责令停止经营，并处罚款;构成犯罪的，依法</w:t>
            </w:r>
            <w:r>
              <w:rPr>
                <w:rFonts w:hint="eastAsia" w:ascii="仿宋_GB2312" w:hAnsi="仿宋_GB2312" w:eastAsia="仿宋_GB2312" w:cs="仿宋_GB2312"/>
                <w:bCs/>
                <w:sz w:val="21"/>
                <w:szCs w:val="21"/>
                <w:lang w:val="en-US" w:eastAsia="zh-CN"/>
              </w:rPr>
              <w:t>追</w:t>
            </w:r>
            <w:r>
              <w:rPr>
                <w:rFonts w:hint="eastAsia" w:ascii="仿宋_GB2312" w:hAnsi="仿宋_GB2312" w:eastAsia="仿宋_GB2312" w:cs="仿宋_GB2312"/>
                <w:bCs/>
                <w:sz w:val="21"/>
                <w:szCs w:val="21"/>
              </w:rPr>
              <w:t>究刑事责任:</w:t>
            </w:r>
          </w:p>
          <w:p w14:paraId="09CF54B4">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一)未取得道路运输经营许可，擅自从事道路普通货物运输经营，违法所得超过1万元的，没收违法所得，处违法所得1倍以上5倍以下的罚款;没有违法所得或者违法所得不足1万元的，处3000元以上1万元以下的罚款，情节严重的，处1万元以上5万元以下的罚款;</w:t>
            </w:r>
          </w:p>
          <w:p w14:paraId="45FCA84D">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(二)未取得道路运输经营许可，擅自从事道路客运经营，违法所得超过2万元的，没收违法所得，处违法所得2倍以上10倍以下的罚款;没有违法所得或者违法所得不足2万元的，处1万元以上10万元以下的罚款;</w:t>
            </w:r>
          </w:p>
          <w:p w14:paraId="5BC5C01E">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三)未取得道路运输经营许可，擅自从事道路危险货物运输经营，违法所得超过2万元的，没收违法所得，处违法所得2倍以上10倍以下的罚款;没有违法所得或者违法所得不足2万元的，处3万元以上10万元以下的罚款。</w:t>
            </w:r>
          </w:p>
        </w:tc>
        <w:tc>
          <w:tcPr>
            <w:tcW w:w="830" w:type="dxa"/>
            <w:vAlign w:val="center"/>
          </w:tcPr>
          <w:p w14:paraId="1B18DFB6">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3BD316D8">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r w14:paraId="109E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725" w:type="dxa"/>
            <w:vAlign w:val="center"/>
          </w:tcPr>
          <w:p w14:paraId="1173F496">
            <w:pPr>
              <w:pStyle w:val="12"/>
              <w:pageBreakBefore w:val="0"/>
              <w:widowControl w:val="0"/>
              <w:numPr>
                <w:ilvl w:val="0"/>
                <w:numId w:val="1"/>
              </w:numPr>
              <w:kinsoku/>
              <w:wordWrap/>
              <w:overflowPunct/>
              <w:topLinePunct w:val="0"/>
              <w:autoSpaceDE/>
              <w:autoSpaceDN/>
              <w:bidi w:val="0"/>
              <w:adjustRightInd w:val="0"/>
              <w:snapToGrid w:val="0"/>
              <w:spacing w:line="580" w:lineRule="exact"/>
              <w:ind w:left="0" w:firstLineChars="0"/>
              <w:jc w:val="both"/>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lang w:val="en-US" w:eastAsia="zh-CN"/>
              </w:rPr>
              <w:t xml:space="preserve">  2</w:t>
            </w:r>
          </w:p>
        </w:tc>
        <w:tc>
          <w:tcPr>
            <w:tcW w:w="4546" w:type="dxa"/>
            <w:vAlign w:val="center"/>
          </w:tcPr>
          <w:p w14:paraId="37290D06">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 xml:space="preserve">未取得道路客运经营许可，擅自从事道路客运经营的处罚 </w:t>
            </w:r>
          </w:p>
          <w:p w14:paraId="5FC5CAE4">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p>
        </w:tc>
        <w:tc>
          <w:tcPr>
            <w:tcW w:w="5314" w:type="dxa"/>
            <w:vAlign w:val="center"/>
          </w:tcPr>
          <w:p w14:paraId="08FBC5BB">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《道路旅客运输及客运站管理规定》（根据2023年11月10日《交通运输部关于修改〈道路旅客运输及客运站管理规定〉的决定》第二次修正）第九十三条　违反本规定，有下列行为之一的，由交通运输主管部门责令停止经营；违法所得超过2万元的，没收违法所得，处违法所得2倍以上10倍以下的罚款；没有违法所得或者违法所得不足2万元的，处1万元以上10万元以下的罚款；构成犯罪的，依法追究刑事责任：</w:t>
            </w:r>
          </w:p>
          <w:p w14:paraId="22E53813">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（一）未取得道路客运经营许可，擅自从事道路客运经营的；</w:t>
            </w:r>
          </w:p>
        </w:tc>
        <w:tc>
          <w:tcPr>
            <w:tcW w:w="830" w:type="dxa"/>
            <w:vAlign w:val="center"/>
          </w:tcPr>
          <w:p w14:paraId="5408CD9C">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1199EC9F">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r w14:paraId="7F734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725" w:type="dxa"/>
            <w:vAlign w:val="center"/>
          </w:tcPr>
          <w:p w14:paraId="2A01D12F">
            <w:pPr>
              <w:pStyle w:val="12"/>
              <w:pageBreakBefore w:val="0"/>
              <w:widowControl w:val="0"/>
              <w:numPr>
                <w:ilvl w:val="0"/>
                <w:numId w:val="0"/>
              </w:numPr>
              <w:tabs>
                <w:tab w:val="center" w:pos="345"/>
              </w:tabs>
              <w:kinsoku/>
              <w:wordWrap/>
              <w:overflowPunct/>
              <w:topLinePunct w:val="0"/>
              <w:autoSpaceDE/>
              <w:autoSpaceDN/>
              <w:bidi w:val="0"/>
              <w:adjustRightInd w:val="0"/>
              <w:snapToGrid w:val="0"/>
              <w:spacing w:line="580" w:lineRule="exact"/>
              <w:ind w:left="-420" w:leftChars="0"/>
              <w:jc w:val="both"/>
              <w:textAlignment w:val="baseline"/>
              <w:rPr>
                <w:rFonts w:hint="default" w:ascii="仿宋_GB2312" w:hAnsi="仿宋_GB2312" w:eastAsia="仿宋_GB2312" w:cs="仿宋_GB2312"/>
                <w:bCs/>
                <w:sz w:val="21"/>
                <w:szCs w:val="21"/>
                <w:lang w:val="en-US" w:eastAsia="zh-CN"/>
              </w:rPr>
            </w:pPr>
            <w:r>
              <w:rPr>
                <w:rFonts w:hint="eastAsia" w:ascii="仿宋_GB2312" w:hAnsi="仿宋_GB2312" w:eastAsia="仿宋_GB2312" w:cs="仿宋_GB2312"/>
                <w:bCs/>
                <w:sz w:val="21"/>
                <w:szCs w:val="21"/>
                <w:lang w:val="en-US" w:eastAsia="zh-CN"/>
              </w:rPr>
              <w:t xml:space="preserve">  </w:t>
            </w:r>
            <w:r>
              <w:rPr>
                <w:rFonts w:hint="eastAsia" w:ascii="仿宋_GB2312" w:hAnsi="仿宋_GB2312" w:eastAsia="仿宋_GB2312" w:cs="仿宋_GB2312"/>
                <w:bCs/>
                <w:sz w:val="21"/>
                <w:szCs w:val="21"/>
                <w:lang w:val="en-US" w:eastAsia="zh-CN"/>
              </w:rPr>
              <w:tab/>
            </w:r>
            <w:r>
              <w:rPr>
                <w:rFonts w:hint="eastAsia" w:ascii="仿宋_GB2312" w:hAnsi="仿宋_GB2312" w:eastAsia="仿宋_GB2312" w:cs="仿宋_GB2312"/>
                <w:bCs/>
                <w:sz w:val="21"/>
                <w:szCs w:val="21"/>
                <w:lang w:val="en-US" w:eastAsia="zh-CN"/>
              </w:rPr>
              <w:t>3</w:t>
            </w:r>
          </w:p>
        </w:tc>
        <w:tc>
          <w:tcPr>
            <w:tcW w:w="4546" w:type="dxa"/>
            <w:vAlign w:val="center"/>
          </w:tcPr>
          <w:p w14:paraId="33216A42">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 xml:space="preserve">未取得道路客运班线经营许可，擅自从事班车客运经营的处罚  </w:t>
            </w:r>
          </w:p>
          <w:p w14:paraId="5843DA56">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p>
        </w:tc>
        <w:tc>
          <w:tcPr>
            <w:tcW w:w="5314" w:type="dxa"/>
            <w:vAlign w:val="center"/>
          </w:tcPr>
          <w:p w14:paraId="430E41CF">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p>
          <w:p w14:paraId="464CAC90">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《道路旅客运输及客运站管理规定》（根据2023年11月10日《交通运输部关于修改〈道路旅客运输及客运站管理规定〉的决定》第二次修正）第九十三条　违反本规定，有下列行为之一的，由交通运输主管部门责令停止经营；违法所得超过2万元的，没收违法所得，处违法所得2倍以上10倍以下的罚款；没有违法所得或者违法所得不足2万元的，处1万元以上10万元以下的罚款；构成犯罪的，依法追究刑事责任：</w:t>
            </w:r>
          </w:p>
          <w:p w14:paraId="5BDD03DC">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（二）未取得道路客运班线经营许可，擅自从事班车客运经营的；</w:t>
            </w:r>
          </w:p>
        </w:tc>
        <w:tc>
          <w:tcPr>
            <w:tcW w:w="830" w:type="dxa"/>
            <w:vAlign w:val="center"/>
          </w:tcPr>
          <w:p w14:paraId="5992336B">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074771F4">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r w14:paraId="797E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725" w:type="dxa"/>
            <w:vAlign w:val="center"/>
          </w:tcPr>
          <w:p w14:paraId="4C756E58">
            <w:pPr>
              <w:pStyle w:val="12"/>
              <w:pageBreakBefore w:val="0"/>
              <w:widowControl w:val="0"/>
              <w:numPr>
                <w:ilvl w:val="0"/>
                <w:numId w:val="0"/>
              </w:numPr>
              <w:kinsoku/>
              <w:wordWrap/>
              <w:overflowPunct/>
              <w:topLinePunct w:val="0"/>
              <w:autoSpaceDE/>
              <w:autoSpaceDN/>
              <w:bidi w:val="0"/>
              <w:adjustRightInd w:val="0"/>
              <w:snapToGrid w:val="0"/>
              <w:spacing w:line="580" w:lineRule="exact"/>
              <w:ind w:left="-420" w:leftChars="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val="en-US" w:eastAsia="zh-CN"/>
              </w:rPr>
              <w:t xml:space="preserve"> 4</w:t>
            </w:r>
          </w:p>
        </w:tc>
        <w:tc>
          <w:tcPr>
            <w:tcW w:w="4546" w:type="dxa"/>
            <w:vAlign w:val="center"/>
          </w:tcPr>
          <w:p w14:paraId="19036EA9">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 xml:space="preserve">使用失效、伪造、变造、被注销等无效的道路客运许可证件从事道路客运经营的处罚 </w:t>
            </w:r>
          </w:p>
          <w:p w14:paraId="19690A70">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p>
        </w:tc>
        <w:tc>
          <w:tcPr>
            <w:tcW w:w="5314" w:type="dxa"/>
            <w:vAlign w:val="center"/>
          </w:tcPr>
          <w:p w14:paraId="5DF7B73E">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《道路旅客运输及客运站管理规定》（根据2023年11月10日《交通运输部关于修改〈道路旅客运输及客运站管理规定〉的决定》第二次修正）第九十三条　违反本规定，有下列行为之一的，由交通运输主管部门责令停止经营；违法所得超过2万元的，没收违法所得，处违法所得2倍以上10倍以下的罚款；没有违法所得或者违法所得不足2万元的，处1万元以上10万元以下的罚款；构成犯罪的，依法追究刑事责任：</w:t>
            </w:r>
          </w:p>
          <w:p w14:paraId="054979F8">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（三）使用失效、伪造、变造、被注销等无效的道路客运许可证件从事道路客运经营的；</w:t>
            </w:r>
          </w:p>
        </w:tc>
        <w:tc>
          <w:tcPr>
            <w:tcW w:w="830" w:type="dxa"/>
            <w:vAlign w:val="center"/>
          </w:tcPr>
          <w:p w14:paraId="32C86282">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33847850">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r w14:paraId="67DA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725" w:type="dxa"/>
            <w:vAlign w:val="center"/>
          </w:tcPr>
          <w:p w14:paraId="18A06ECD">
            <w:pPr>
              <w:pStyle w:val="12"/>
              <w:pageBreakBefore w:val="0"/>
              <w:widowControl w:val="0"/>
              <w:numPr>
                <w:ilvl w:val="0"/>
                <w:numId w:val="1"/>
              </w:numPr>
              <w:kinsoku/>
              <w:wordWrap/>
              <w:overflowPunct/>
              <w:topLinePunct w:val="0"/>
              <w:autoSpaceDE/>
              <w:autoSpaceDN/>
              <w:bidi w:val="0"/>
              <w:adjustRightInd w:val="0"/>
              <w:snapToGrid w:val="0"/>
              <w:spacing w:line="580" w:lineRule="exact"/>
              <w:ind w:left="0" w:firstLineChars="0"/>
              <w:jc w:val="both"/>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lang w:val="en-US" w:eastAsia="zh-CN"/>
              </w:rPr>
              <w:t xml:space="preserve">  5</w:t>
            </w:r>
          </w:p>
        </w:tc>
        <w:tc>
          <w:tcPr>
            <w:tcW w:w="4546" w:type="dxa"/>
            <w:vAlign w:val="center"/>
          </w:tcPr>
          <w:p w14:paraId="3C54A244">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超越许可事项，从事道路客运经营的处罚</w:t>
            </w:r>
          </w:p>
        </w:tc>
        <w:tc>
          <w:tcPr>
            <w:tcW w:w="5314" w:type="dxa"/>
            <w:vAlign w:val="center"/>
          </w:tcPr>
          <w:p w14:paraId="08E74D55">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《道路旅客运输及客运站管理规定》（根据2023年11月10日《交通运输部关于修改〈道路旅客运输及客运站管理规定〉的决定》第二次修正）第九十三条　违反本规定，有下列行为之一的，由交通运输主管部门责令停止经营；违法所得超过2万元的，没收违法所得，处违法所得2倍以上10倍以下的罚款；没有违法所得或者违法所得不足2万元的，处1万元以上10万元以下的罚款；构成犯罪的，依法追究刑事责任：</w:t>
            </w:r>
          </w:p>
          <w:p w14:paraId="056B6F84">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（四）超越许可事项，从事道路客运经营的。</w:t>
            </w:r>
          </w:p>
        </w:tc>
        <w:tc>
          <w:tcPr>
            <w:tcW w:w="830" w:type="dxa"/>
            <w:vAlign w:val="center"/>
          </w:tcPr>
          <w:p w14:paraId="618F30F1">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49ED3340">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r w14:paraId="4F0FF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874A4BA">
            <w:pPr>
              <w:pStyle w:val="12"/>
              <w:pageBreakBefore w:val="0"/>
              <w:widowControl w:val="0"/>
              <w:numPr>
                <w:ilvl w:val="0"/>
                <w:numId w:val="1"/>
              </w:numPr>
              <w:kinsoku/>
              <w:wordWrap/>
              <w:overflowPunct/>
              <w:topLinePunct w:val="0"/>
              <w:autoSpaceDE/>
              <w:autoSpaceDN/>
              <w:bidi w:val="0"/>
              <w:adjustRightInd w:val="0"/>
              <w:snapToGrid w:val="0"/>
              <w:spacing w:line="580" w:lineRule="exact"/>
              <w:ind w:left="0" w:firstLineChars="0"/>
              <w:jc w:val="both"/>
              <w:textAlignment w:val="baseline"/>
              <w:rPr>
                <w:rFonts w:hint="default"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eastAsia="zh-CN"/>
              </w:rPr>
              <w:t xml:space="preserve"> 6</w:t>
            </w:r>
          </w:p>
        </w:tc>
        <w:tc>
          <w:tcPr>
            <w:tcW w:w="4546" w:type="dxa"/>
            <w:vAlign w:val="center"/>
          </w:tcPr>
          <w:p w14:paraId="5884CEEF">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未按规定取得道路货物运输经营许可，擅自从事道路普通货物运输经营的处罚</w:t>
            </w:r>
          </w:p>
        </w:tc>
        <w:tc>
          <w:tcPr>
            <w:tcW w:w="5314" w:type="dxa"/>
            <w:vAlign w:val="center"/>
          </w:tcPr>
          <w:p w14:paraId="214DB663">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p>
          <w:p w14:paraId="68D4722B">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《道路货物运输及站场管理规定》（根据2023年11月10日《交通运输部关于修改〈道路货物运输及站场管理规定〉的决定》第七次修正)第六十一条 违反本规定，有下列行为之一的，由交通运输主管部门责令停止经营;违法所得超过1万元的，没收违法所得，处违法所得1倍以上5倍以下的罚款;没有违法所得或者违法所得不足1万元的，处3000元以上1万元以下的罚款，情节严重的，处1万元以上5万元以下的罚款；构成犯罪的，依法追究刑事责任：(一)未按规定取得道路货物运输经营许可，擅自从事道路普通货物运输经营的;</w:t>
            </w:r>
          </w:p>
        </w:tc>
        <w:tc>
          <w:tcPr>
            <w:tcW w:w="830" w:type="dxa"/>
            <w:vAlign w:val="center"/>
          </w:tcPr>
          <w:p w14:paraId="21801F64">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055B4675">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r w14:paraId="3C9A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7816F574">
            <w:pPr>
              <w:pStyle w:val="12"/>
              <w:pageBreakBefore w:val="0"/>
              <w:widowControl w:val="0"/>
              <w:numPr>
                <w:ilvl w:val="0"/>
                <w:numId w:val="0"/>
              </w:numPr>
              <w:kinsoku/>
              <w:wordWrap/>
              <w:overflowPunct/>
              <w:topLinePunct w:val="0"/>
              <w:autoSpaceDE/>
              <w:autoSpaceDN/>
              <w:bidi w:val="0"/>
              <w:adjustRightInd w:val="0"/>
              <w:snapToGrid w:val="0"/>
              <w:spacing w:line="580" w:lineRule="exact"/>
              <w:ind w:left="-420" w:leftChars="0"/>
              <w:jc w:val="center"/>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 xml:space="preserve">  </w:t>
            </w:r>
          </w:p>
          <w:p w14:paraId="4E74483B">
            <w:pPr>
              <w:pStyle w:val="12"/>
              <w:pageBreakBefore w:val="0"/>
              <w:widowControl w:val="0"/>
              <w:numPr>
                <w:ilvl w:val="0"/>
                <w:numId w:val="0"/>
              </w:numPr>
              <w:kinsoku/>
              <w:wordWrap/>
              <w:overflowPunct/>
              <w:topLinePunct w:val="0"/>
              <w:autoSpaceDE/>
              <w:autoSpaceDN/>
              <w:bidi w:val="0"/>
              <w:adjustRightInd w:val="0"/>
              <w:snapToGrid w:val="0"/>
              <w:spacing w:line="580" w:lineRule="exact"/>
              <w:ind w:left="-420" w:leftChars="0"/>
              <w:jc w:val="center"/>
              <w:textAlignment w:val="baseline"/>
              <w:rPr>
                <w:rFonts w:hint="eastAsia" w:ascii="仿宋_GB2312" w:hAnsi="仿宋_GB2312" w:eastAsia="仿宋_GB2312" w:cs="仿宋_GB2312"/>
                <w:sz w:val="21"/>
                <w:szCs w:val="21"/>
                <w:lang w:val="en-US" w:eastAsia="zh-CN"/>
              </w:rPr>
            </w:pPr>
          </w:p>
          <w:p w14:paraId="15702ACF">
            <w:pPr>
              <w:pStyle w:val="12"/>
              <w:pageBreakBefore w:val="0"/>
              <w:widowControl w:val="0"/>
              <w:numPr>
                <w:ilvl w:val="0"/>
                <w:numId w:val="0"/>
              </w:numPr>
              <w:kinsoku/>
              <w:wordWrap/>
              <w:overflowPunct/>
              <w:topLinePunct w:val="0"/>
              <w:autoSpaceDE/>
              <w:autoSpaceDN/>
              <w:bidi w:val="0"/>
              <w:adjustRightInd w:val="0"/>
              <w:snapToGrid w:val="0"/>
              <w:spacing w:line="580" w:lineRule="exact"/>
              <w:ind w:left="-420" w:leftChars="0"/>
              <w:jc w:val="center"/>
              <w:textAlignment w:val="baseline"/>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 xml:space="preserve">   7</w:t>
            </w:r>
          </w:p>
        </w:tc>
        <w:tc>
          <w:tcPr>
            <w:tcW w:w="4546" w:type="dxa"/>
            <w:vAlign w:val="center"/>
          </w:tcPr>
          <w:p w14:paraId="2C9657C8">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p>
          <w:p w14:paraId="6DAFDB08">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p>
          <w:p w14:paraId="5AC7518B">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使用失效、伪造、变造、被注销等无效的道路运输经营许可证件从事道路普通货物运输经营的处罚</w:t>
            </w:r>
          </w:p>
        </w:tc>
        <w:tc>
          <w:tcPr>
            <w:tcW w:w="5314" w:type="dxa"/>
            <w:vAlign w:val="center"/>
          </w:tcPr>
          <w:p w14:paraId="446F86E9">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p>
          <w:p w14:paraId="73D04D18">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《道路货物运输及站场管理规定》（根据2023年11月10日《交通运输部关于修改〈道路货物运输及站场管理规定〉的决定》第七次修正)第六十一条 违反本规定，有下列行为之一的，由交通运输主管部门责令停止经营;违法所得超过1万元的，没收违法所得，处违法所得1倍以上5倍以下的罚款;没有违法所得或者违法所得不足1万元的，处3000元以上1万元以下的罚款，情节严重的，处1万元以上5万元以下的罚款:构成犯罪的，依法追究刑事责任:</w:t>
            </w:r>
          </w:p>
          <w:p w14:paraId="3F10D4C1">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(二)使用失效、伪造、变造、被注销等无效的道路运输经营许可证件从事道路普通货物运输经营的;</w:t>
            </w:r>
          </w:p>
        </w:tc>
        <w:tc>
          <w:tcPr>
            <w:tcW w:w="830" w:type="dxa"/>
            <w:vAlign w:val="center"/>
          </w:tcPr>
          <w:p w14:paraId="10E6DF32">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p>
          <w:p w14:paraId="2957FA03">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p>
          <w:p w14:paraId="61301D78">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54C16D08">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p>
          <w:p w14:paraId="19734795">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p>
          <w:p w14:paraId="01FD76BC">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r w14:paraId="12483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F3CEF91">
            <w:pPr>
              <w:pStyle w:val="12"/>
              <w:pageBreakBefore w:val="0"/>
              <w:widowControl w:val="0"/>
              <w:numPr>
                <w:ilvl w:val="0"/>
                <w:numId w:val="1"/>
              </w:numPr>
              <w:kinsoku/>
              <w:wordWrap/>
              <w:overflowPunct/>
              <w:topLinePunct w:val="0"/>
              <w:autoSpaceDE/>
              <w:autoSpaceDN/>
              <w:bidi w:val="0"/>
              <w:adjustRightInd w:val="0"/>
              <w:snapToGrid w:val="0"/>
              <w:spacing w:line="580" w:lineRule="exact"/>
              <w:ind w:left="0" w:firstLineChars="0"/>
              <w:jc w:val="center"/>
              <w:textAlignment w:val="baseline"/>
              <w:rPr>
                <w:rFonts w:hint="default"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eastAsia="zh-CN"/>
              </w:rPr>
              <w:t>8</w:t>
            </w:r>
          </w:p>
        </w:tc>
        <w:tc>
          <w:tcPr>
            <w:tcW w:w="4546" w:type="dxa"/>
            <w:vAlign w:val="center"/>
          </w:tcPr>
          <w:p w14:paraId="0B40F66D">
            <w:pPr>
              <w:pageBreakBefore w:val="0"/>
              <w:widowControl w:val="0"/>
              <w:kinsoku/>
              <w:wordWrap/>
              <w:overflowPunct/>
              <w:topLinePunct w:val="0"/>
              <w:autoSpaceDE/>
              <w:autoSpaceDN/>
              <w:bidi w:val="0"/>
              <w:adjustRightInd w:val="0"/>
              <w:snapToGrid w:val="0"/>
              <w:spacing w:line="580" w:lineRule="exact"/>
              <w:ind w:left="0"/>
              <w:jc w:val="both"/>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超越许可的事项，从事道路普通货物运输经营的处罚</w:t>
            </w:r>
          </w:p>
        </w:tc>
        <w:tc>
          <w:tcPr>
            <w:tcW w:w="5314" w:type="dxa"/>
            <w:vAlign w:val="center"/>
          </w:tcPr>
          <w:p w14:paraId="5BB3819A">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《道路货物运输及站场管理规定》（根据2023年11月10日《交通运输部关于修改〈道路货物运输及站场管理规定〉的决定》第七次修正)第六十一条 违反本规定，有下列行为之一的，由交通运输主管部门责令停止经营;违法所得超过1万元的，没收违法所得，处违法所得1倍以上5倍以下的罚款;没有违法所得或者违法所得不足1万元的，处3000元以上1万元以下的罚款，情节严重的，处1万元以上5万元以下的罚款:构成犯罪的，依法追究刑事责任：(三)超越许可的事项，从事道路普通货物运输经营的。</w:t>
            </w:r>
          </w:p>
        </w:tc>
        <w:tc>
          <w:tcPr>
            <w:tcW w:w="830" w:type="dxa"/>
            <w:vAlign w:val="center"/>
          </w:tcPr>
          <w:p w14:paraId="72024471">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107440DD">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r w14:paraId="1CC6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734213C5">
            <w:pPr>
              <w:pStyle w:val="12"/>
              <w:pageBreakBefore w:val="0"/>
              <w:widowControl w:val="0"/>
              <w:numPr>
                <w:ilvl w:val="0"/>
                <w:numId w:val="1"/>
              </w:numPr>
              <w:tabs>
                <w:tab w:val="left" w:pos="327"/>
              </w:tabs>
              <w:kinsoku/>
              <w:wordWrap/>
              <w:overflowPunct/>
              <w:topLinePunct w:val="0"/>
              <w:autoSpaceDE/>
              <w:autoSpaceDN/>
              <w:bidi w:val="0"/>
              <w:adjustRightInd w:val="0"/>
              <w:snapToGrid w:val="0"/>
              <w:spacing w:line="580" w:lineRule="exact"/>
              <w:ind w:left="0" w:firstLineChars="0"/>
              <w:jc w:val="left"/>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lang w:val="en-US" w:eastAsia="zh-CN"/>
              </w:rPr>
              <w:t xml:space="preserve"> 9</w:t>
            </w:r>
          </w:p>
        </w:tc>
        <w:tc>
          <w:tcPr>
            <w:tcW w:w="4546" w:type="dxa"/>
            <w:vAlign w:val="center"/>
          </w:tcPr>
          <w:p w14:paraId="721A4978">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rPr>
              <w:t>货运车辆1年内违法超限运输超过3次</w:t>
            </w:r>
            <w:r>
              <w:rPr>
                <w:rFonts w:hint="eastAsia" w:ascii="仿宋_GB2312" w:hAnsi="仿宋_GB2312" w:eastAsia="仿宋_GB2312" w:cs="仿宋_GB2312"/>
                <w:bCs/>
                <w:sz w:val="21"/>
                <w:szCs w:val="21"/>
                <w:lang w:eastAsia="zh-CN"/>
              </w:rPr>
              <w:t>的行政处罚</w:t>
            </w:r>
          </w:p>
        </w:tc>
        <w:tc>
          <w:tcPr>
            <w:tcW w:w="5314" w:type="dxa"/>
            <w:vAlign w:val="center"/>
          </w:tcPr>
          <w:p w14:paraId="7C7CC63A">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《公路安全保护条例》（2011年3月7日中华人民共和国国务院令第593号公布）第六十六条　对1年内违法超限运输超过3次的货运车辆，由道路运输管理机构</w:t>
            </w:r>
            <w:r>
              <w:rPr>
                <w:rFonts w:hint="eastAsia" w:ascii="仿宋_GB2312" w:hAnsi="仿宋_GB2312" w:eastAsia="仿宋_GB2312" w:cs="仿宋_GB2312"/>
                <w:sz w:val="21"/>
                <w:szCs w:val="21"/>
              </w:rPr>
              <w:t>吊销</w:t>
            </w:r>
            <w:r>
              <w:rPr>
                <w:rFonts w:hint="eastAsia" w:ascii="仿宋_GB2312" w:hAnsi="仿宋_GB2312" w:eastAsia="仿宋_GB2312" w:cs="仿宋_GB2312"/>
                <w:bCs/>
                <w:sz w:val="21"/>
                <w:szCs w:val="21"/>
              </w:rPr>
              <w:t>其车辆营运证；对1年内违法超限运输超过3次的货运车辆驾驶人，由道路运输管理机构责令其停止从事营业性运输；道路运输企业1年内违法超限运输的货运车辆超过本单位货运车辆总数10%的，由道路运输管理机构责令道路运输企业停业整顿；情节严重的，吊销其道路运输经营许可证，并向社会公告。</w:t>
            </w:r>
          </w:p>
        </w:tc>
        <w:tc>
          <w:tcPr>
            <w:tcW w:w="830" w:type="dxa"/>
            <w:vAlign w:val="center"/>
          </w:tcPr>
          <w:p w14:paraId="53C06AD9">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191EAD1D">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r w14:paraId="79B9A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5E13E43">
            <w:pPr>
              <w:pStyle w:val="12"/>
              <w:pageBreakBefore w:val="0"/>
              <w:widowControl w:val="0"/>
              <w:numPr>
                <w:ilvl w:val="0"/>
                <w:numId w:val="0"/>
              </w:numPr>
              <w:kinsoku/>
              <w:wordWrap/>
              <w:overflowPunct/>
              <w:topLinePunct w:val="0"/>
              <w:autoSpaceDE/>
              <w:autoSpaceDN/>
              <w:bidi w:val="0"/>
              <w:adjustRightInd w:val="0"/>
              <w:snapToGrid w:val="0"/>
              <w:spacing w:line="580" w:lineRule="exact"/>
              <w:ind w:left="-420" w:leftChars="0"/>
              <w:jc w:val="center"/>
              <w:textAlignment w:val="baseline"/>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 xml:space="preserve">  10</w:t>
            </w:r>
          </w:p>
        </w:tc>
        <w:tc>
          <w:tcPr>
            <w:tcW w:w="4546" w:type="dxa"/>
            <w:vAlign w:val="center"/>
          </w:tcPr>
          <w:p w14:paraId="2C41B4EF">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利用公路桥梁进行牵拉、吊装等危及公路桥梁安全的施工作业的处罚</w:t>
            </w:r>
          </w:p>
        </w:tc>
        <w:tc>
          <w:tcPr>
            <w:tcW w:w="5314" w:type="dxa"/>
            <w:vAlign w:val="center"/>
          </w:tcPr>
          <w:p w14:paraId="35120CD3">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《公路安全保护条例》（2011年3月7日中华人民共和国国务院令第593号公布）第五十九条 违反本条例第二十二条规定的，由公路管理机构责令改正，处2万元以上10万元以下的罚款。</w:t>
            </w:r>
          </w:p>
          <w:p w14:paraId="6E55D193">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第二十二条　禁止利用公路桥梁进行牵拉、吊装等危及公路桥梁安全的施工作业。</w:t>
            </w:r>
          </w:p>
          <w:p w14:paraId="0952D45B">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禁止利用公路桥梁（含桥下空间）、公路隧道、涵洞堆放物品，搭建设施以及铺设高压电线和输送易燃、易爆或者其他有毒有害气体、液体的管道。</w:t>
            </w:r>
          </w:p>
        </w:tc>
        <w:tc>
          <w:tcPr>
            <w:tcW w:w="830" w:type="dxa"/>
            <w:vAlign w:val="center"/>
          </w:tcPr>
          <w:p w14:paraId="44113FD6">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36D3503B">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r w14:paraId="4BBEF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0" w:hRule="atLeast"/>
          <w:jc w:val="center"/>
        </w:trPr>
        <w:tc>
          <w:tcPr>
            <w:tcW w:w="725" w:type="dxa"/>
            <w:vAlign w:val="center"/>
          </w:tcPr>
          <w:p w14:paraId="2AC47802">
            <w:pPr>
              <w:pStyle w:val="12"/>
              <w:pageBreakBefore w:val="0"/>
              <w:widowControl w:val="0"/>
              <w:numPr>
                <w:ilvl w:val="0"/>
                <w:numId w:val="0"/>
              </w:numPr>
              <w:kinsoku/>
              <w:wordWrap/>
              <w:overflowPunct/>
              <w:topLinePunct w:val="0"/>
              <w:autoSpaceDE/>
              <w:autoSpaceDN/>
              <w:bidi w:val="0"/>
              <w:adjustRightInd w:val="0"/>
              <w:snapToGrid w:val="0"/>
              <w:spacing w:line="580" w:lineRule="exact"/>
              <w:ind w:left="-420" w:leftChars="0"/>
              <w:jc w:val="center"/>
              <w:textAlignment w:val="baseline"/>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 xml:space="preserve">   11</w:t>
            </w:r>
          </w:p>
        </w:tc>
        <w:tc>
          <w:tcPr>
            <w:tcW w:w="4546" w:type="dxa"/>
            <w:vAlign w:val="center"/>
          </w:tcPr>
          <w:p w14:paraId="2428B0B7">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利用公路桥梁（含桥下空间）、公路隧道、涵洞堆放物品，搭建设施以及铺设高压电线和输送易燃、易爆或者其他有毒有害气体、液体的管道的处罚</w:t>
            </w:r>
          </w:p>
        </w:tc>
        <w:tc>
          <w:tcPr>
            <w:tcW w:w="5314" w:type="dxa"/>
            <w:vAlign w:val="center"/>
          </w:tcPr>
          <w:p w14:paraId="2D8A4CCF">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《公路安全保护条例》（2011年3月7日中华人民共和国国务院令第593号公布）第五十九条 违反本条例第二十二条规定的，由公路管理机构责令改正，处2万元以上10万元以下的罚款。</w:t>
            </w:r>
          </w:p>
          <w:p w14:paraId="3BDD0521">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第二十二条　禁止利用公路桥梁进行牵拉、吊装等危及公路桥梁安全的施工作业。</w:t>
            </w:r>
          </w:p>
          <w:p w14:paraId="36A69D3D">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禁止利用公路桥梁（含桥下空间）、公路隧道、涵洞堆放物品，搭建设施以及铺设高压电线和输送易燃、易爆或者其他有毒有害气体、液体的管道。</w:t>
            </w:r>
          </w:p>
        </w:tc>
        <w:tc>
          <w:tcPr>
            <w:tcW w:w="830" w:type="dxa"/>
            <w:vAlign w:val="center"/>
          </w:tcPr>
          <w:p w14:paraId="689F5F3F">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112D3675">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r w14:paraId="4CB5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B422F3F">
            <w:pPr>
              <w:pStyle w:val="12"/>
              <w:pageBreakBefore w:val="0"/>
              <w:widowControl w:val="0"/>
              <w:numPr>
                <w:ilvl w:val="0"/>
                <w:numId w:val="0"/>
              </w:numPr>
              <w:kinsoku/>
              <w:wordWrap/>
              <w:overflowPunct/>
              <w:topLinePunct w:val="0"/>
              <w:autoSpaceDE/>
              <w:autoSpaceDN/>
              <w:bidi w:val="0"/>
              <w:adjustRightInd w:val="0"/>
              <w:snapToGrid w:val="0"/>
              <w:spacing w:line="580" w:lineRule="exact"/>
              <w:ind w:left="-420" w:leftChars="0"/>
              <w:jc w:val="center"/>
              <w:textAlignment w:val="baseline"/>
              <w:rPr>
                <w:rFonts w:hint="default" w:ascii="仿宋_GB2312" w:hAnsi="仿宋_GB2312" w:eastAsia="仿宋_GB2312" w:cs="仿宋_GB2312"/>
                <w:bCs/>
                <w:sz w:val="21"/>
                <w:szCs w:val="21"/>
                <w:lang w:val="en-US" w:eastAsia="zh-CN"/>
              </w:rPr>
            </w:pPr>
            <w:r>
              <w:rPr>
                <w:rFonts w:hint="eastAsia" w:ascii="仿宋_GB2312" w:hAnsi="仿宋_GB2312" w:eastAsia="仿宋_GB2312" w:cs="仿宋_GB2312"/>
                <w:bCs/>
                <w:sz w:val="21"/>
                <w:szCs w:val="21"/>
                <w:lang w:val="en-US" w:eastAsia="zh-CN"/>
              </w:rPr>
              <w:t xml:space="preserve">  12</w:t>
            </w:r>
          </w:p>
        </w:tc>
        <w:tc>
          <w:tcPr>
            <w:tcW w:w="4546" w:type="dxa"/>
            <w:vAlign w:val="center"/>
          </w:tcPr>
          <w:p w14:paraId="28CA935E">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未依法取得港口经营许可证从事港口经营，或者港口理货业务经营人兼营货物装卸经营业务、仓储经营业务的处罚</w:t>
            </w:r>
          </w:p>
          <w:p w14:paraId="439ADD66">
            <w:pPr>
              <w:pStyle w:val="2"/>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sz w:val="21"/>
                <w:szCs w:val="21"/>
              </w:rPr>
            </w:pPr>
          </w:p>
        </w:tc>
        <w:tc>
          <w:tcPr>
            <w:tcW w:w="5314" w:type="dxa"/>
            <w:vAlign w:val="center"/>
          </w:tcPr>
          <w:p w14:paraId="33AD6B40">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《中华人民共和国港口法》（根据2018年12月29日第十三届全国人民代表大会常务委员会第七次会议《关于修改〈中华人民共和国电力法〉等四部法律的决定》第三次修正） 第四十九条　未依法取得港口经营许可证从事港口经营，或者港口理货业务经营人兼营货物装卸经营业务、仓储经营业务的，由港口行政管理部门责令停止违法经营，没收违法所得；违法所得十万元以上的，并处违法所得二倍以上五倍以下罚款；违法所得不足十万元的，处五万元以上二十万元以下罚款。</w:t>
            </w:r>
          </w:p>
        </w:tc>
        <w:tc>
          <w:tcPr>
            <w:tcW w:w="830" w:type="dxa"/>
            <w:vAlign w:val="center"/>
          </w:tcPr>
          <w:p w14:paraId="486D7513">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行政</w:t>
            </w:r>
          </w:p>
          <w:p w14:paraId="4C66E2D5">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处罚</w:t>
            </w:r>
          </w:p>
        </w:tc>
        <w:tc>
          <w:tcPr>
            <w:tcW w:w="991" w:type="dxa"/>
            <w:vAlign w:val="center"/>
          </w:tcPr>
          <w:p w14:paraId="1F7184BA">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市交通</w:t>
            </w:r>
          </w:p>
          <w:p w14:paraId="54879B4D">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运输局</w:t>
            </w:r>
          </w:p>
        </w:tc>
      </w:tr>
      <w:tr w14:paraId="10AE2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059BA5A">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default" w:ascii="仿宋_GB2312" w:hAnsi="仿宋_GB2312" w:eastAsia="仿宋_GB2312" w:cs="仿宋_GB2312"/>
                <w:color w:val="000000" w:themeColor="text1"/>
                <w:sz w:val="21"/>
                <w:szCs w:val="21"/>
                <w:highlight w:val="cyan"/>
                <w:lang w:val="en-US" w:eastAsia="zh-CN"/>
                <w14:textFill>
                  <w14:solidFill>
                    <w14:schemeClr w14:val="tx1"/>
                  </w14:solidFill>
                </w14:textFill>
              </w:rPr>
            </w:pPr>
            <w:r>
              <w:rPr>
                <w:rFonts w:hint="eastAsia" w:ascii="仿宋_GB2312" w:hAnsi="仿宋_GB2312" w:eastAsia="仿宋_GB2312" w:cs="仿宋_GB2312"/>
                <w:bCs/>
                <w:sz w:val="21"/>
                <w:szCs w:val="21"/>
                <w:lang w:val="en-US" w:eastAsia="zh-CN"/>
              </w:rPr>
              <w:t>13</w:t>
            </w:r>
          </w:p>
        </w:tc>
        <w:tc>
          <w:tcPr>
            <w:tcW w:w="4546" w:type="dxa"/>
            <w:vAlign w:val="center"/>
          </w:tcPr>
          <w:p w14:paraId="104EB65D">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船舶未按照国务院交通主管部门的规定配备船员擅自航行，或者浮动设施未按照国务院交通主管部门的规定配备掌握水上交通安全技能的船员擅自作业的处罚</w:t>
            </w:r>
          </w:p>
        </w:tc>
        <w:tc>
          <w:tcPr>
            <w:tcW w:w="5314" w:type="dxa"/>
            <w:vAlign w:val="center"/>
          </w:tcPr>
          <w:p w14:paraId="42D0BF97">
            <w:pPr>
              <w:pageBreakBefore w:val="0"/>
              <w:widowControl w:val="0"/>
              <w:kinsoku/>
              <w:wordWrap/>
              <w:overflowPunct/>
              <w:topLinePunct w:val="0"/>
              <w:autoSpaceDE/>
              <w:autoSpaceDN/>
              <w:bidi w:val="0"/>
              <w:adjustRightInd w:val="0"/>
              <w:snapToGrid w:val="0"/>
              <w:spacing w:line="580" w:lineRule="exact"/>
              <w:ind w:left="0"/>
              <w:jc w:val="left"/>
              <w:textAlignment w:val="baseline"/>
              <w:rPr>
                <w:rFonts w:hint="eastAsia" w:ascii="仿宋_GB2312" w:hAnsi="仿宋_GB2312" w:eastAsia="仿宋_GB2312" w:cs="仿宋_GB2312"/>
                <w:bCs/>
                <w:sz w:val="21"/>
                <w:szCs w:val="21"/>
              </w:rPr>
            </w:pPr>
          </w:p>
          <w:p w14:paraId="07B97FCA">
            <w:pPr>
              <w:pageBreakBefore w:val="0"/>
              <w:widowControl w:val="0"/>
              <w:kinsoku/>
              <w:wordWrap/>
              <w:overflowPunct/>
              <w:topLinePunct w:val="0"/>
              <w:autoSpaceDE/>
              <w:autoSpaceDN/>
              <w:bidi w:val="0"/>
              <w:adjustRightInd w:val="0"/>
              <w:snapToGrid w:val="0"/>
              <w:spacing w:line="580" w:lineRule="exact"/>
              <w:ind w:left="0"/>
              <w:jc w:val="left"/>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《中华人民共和国内河交通安全管理条例》（根据2019年3月2日国务院令第709号《国务院关于修改部分行政法规的决定》第三次修正） 第六十五条  违反本条例的规定，船舶未按照国务院交通主管部门的规定配备船员擅自航行，或者浮动设施未按照国务院交通主管部门的规定配备掌握水上交通安全技能的船员擅自作业的，由海事管理机构责令限期改正，对船舶、浮动设施所有人或者经营人处1万元以上10万元以下的罚款；逾期不改正的，责令停航或者停止作业。</w:t>
            </w:r>
          </w:p>
        </w:tc>
        <w:tc>
          <w:tcPr>
            <w:tcW w:w="830" w:type="dxa"/>
            <w:vAlign w:val="center"/>
          </w:tcPr>
          <w:p w14:paraId="31E91DFE">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651D86D5">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r w14:paraId="2EF3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6D63C38">
            <w:pPr>
              <w:pStyle w:val="12"/>
              <w:pageBreakBefore w:val="0"/>
              <w:widowControl w:val="0"/>
              <w:kinsoku/>
              <w:wordWrap/>
              <w:overflowPunct/>
              <w:topLinePunct w:val="0"/>
              <w:autoSpaceDE/>
              <w:autoSpaceDN/>
              <w:bidi w:val="0"/>
              <w:adjustRightInd w:val="0"/>
              <w:snapToGrid w:val="0"/>
              <w:spacing w:line="580" w:lineRule="exact"/>
              <w:ind w:left="0" w:firstLine="0" w:firstLineChars="0"/>
              <w:jc w:val="center"/>
              <w:textAlignment w:val="baseline"/>
              <w:rPr>
                <w:rFonts w:hint="eastAsia" w:ascii="仿宋_GB2312" w:hAnsi="仿宋_GB2312" w:eastAsia="仿宋_GB2312" w:cs="仿宋_GB2312"/>
                <w:sz w:val="21"/>
                <w:szCs w:val="21"/>
              </w:rPr>
            </w:pPr>
          </w:p>
          <w:p w14:paraId="754EA33F">
            <w:pPr>
              <w:pStyle w:val="12"/>
              <w:pageBreakBefore w:val="0"/>
              <w:widowControl w:val="0"/>
              <w:kinsoku/>
              <w:wordWrap/>
              <w:overflowPunct/>
              <w:topLinePunct w:val="0"/>
              <w:autoSpaceDE/>
              <w:autoSpaceDN/>
              <w:bidi w:val="0"/>
              <w:adjustRightInd w:val="0"/>
              <w:snapToGrid w:val="0"/>
              <w:spacing w:line="580" w:lineRule="exact"/>
              <w:ind w:left="0" w:firstLine="0" w:firstLineChars="0"/>
              <w:jc w:val="center"/>
              <w:textAlignment w:val="baseline"/>
              <w:rPr>
                <w:rFonts w:hint="eastAsia" w:ascii="仿宋_GB2312" w:hAnsi="仿宋_GB2312" w:eastAsia="仿宋_GB2312" w:cs="仿宋_GB2312"/>
                <w:sz w:val="21"/>
                <w:szCs w:val="21"/>
              </w:rPr>
            </w:pPr>
          </w:p>
          <w:p w14:paraId="109C62DF">
            <w:pPr>
              <w:pStyle w:val="12"/>
              <w:pageBreakBefore w:val="0"/>
              <w:widowControl w:val="0"/>
              <w:kinsoku/>
              <w:wordWrap/>
              <w:overflowPunct/>
              <w:topLinePunct w:val="0"/>
              <w:autoSpaceDE/>
              <w:autoSpaceDN/>
              <w:bidi w:val="0"/>
              <w:adjustRightInd w:val="0"/>
              <w:snapToGrid w:val="0"/>
              <w:spacing w:line="580" w:lineRule="exact"/>
              <w:ind w:left="0" w:firstLine="0" w:firstLineChars="0"/>
              <w:jc w:val="center"/>
              <w:textAlignment w:val="baseline"/>
              <w:rPr>
                <w:rFonts w:hint="eastAsia" w:ascii="仿宋_GB2312" w:hAnsi="仿宋_GB2312" w:eastAsia="仿宋_GB2312" w:cs="仿宋_GB2312"/>
                <w:sz w:val="21"/>
                <w:szCs w:val="21"/>
              </w:rPr>
            </w:pPr>
          </w:p>
          <w:p w14:paraId="1F0A799C">
            <w:pPr>
              <w:pStyle w:val="12"/>
              <w:pageBreakBefore w:val="0"/>
              <w:widowControl w:val="0"/>
              <w:kinsoku/>
              <w:wordWrap/>
              <w:overflowPunct/>
              <w:topLinePunct w:val="0"/>
              <w:autoSpaceDE/>
              <w:autoSpaceDN/>
              <w:bidi w:val="0"/>
              <w:adjustRightInd w:val="0"/>
              <w:snapToGrid w:val="0"/>
              <w:spacing w:line="580" w:lineRule="exact"/>
              <w:ind w:left="0" w:firstLine="0" w:firstLineChars="0"/>
              <w:jc w:val="center"/>
              <w:textAlignment w:val="baseline"/>
              <w:rPr>
                <w:rFonts w:hint="eastAsia" w:ascii="仿宋_GB2312" w:hAnsi="仿宋_GB2312" w:eastAsia="仿宋_GB2312" w:cs="仿宋_GB2312"/>
                <w:sz w:val="21"/>
                <w:szCs w:val="21"/>
              </w:rPr>
            </w:pPr>
          </w:p>
          <w:p w14:paraId="444499C8">
            <w:pPr>
              <w:pStyle w:val="12"/>
              <w:pageBreakBefore w:val="0"/>
              <w:widowControl w:val="0"/>
              <w:kinsoku/>
              <w:wordWrap/>
              <w:overflowPunct/>
              <w:topLinePunct w:val="0"/>
              <w:autoSpaceDE/>
              <w:autoSpaceDN/>
              <w:bidi w:val="0"/>
              <w:adjustRightInd w:val="0"/>
              <w:snapToGrid w:val="0"/>
              <w:spacing w:line="580" w:lineRule="exact"/>
              <w:ind w:left="0" w:firstLine="0" w:firstLineChars="0"/>
              <w:jc w:val="center"/>
              <w:textAlignment w:val="baseline"/>
              <w:rPr>
                <w:rFonts w:hint="eastAsia" w:ascii="仿宋_GB2312" w:hAnsi="仿宋_GB2312" w:eastAsia="仿宋_GB2312" w:cs="仿宋_GB2312"/>
                <w:sz w:val="21"/>
                <w:szCs w:val="21"/>
              </w:rPr>
            </w:pPr>
          </w:p>
          <w:p w14:paraId="69B22324">
            <w:pPr>
              <w:pStyle w:val="12"/>
              <w:pageBreakBefore w:val="0"/>
              <w:widowControl w:val="0"/>
              <w:kinsoku/>
              <w:wordWrap/>
              <w:overflowPunct/>
              <w:topLinePunct w:val="0"/>
              <w:autoSpaceDE/>
              <w:autoSpaceDN/>
              <w:bidi w:val="0"/>
              <w:adjustRightInd w:val="0"/>
              <w:snapToGrid w:val="0"/>
              <w:spacing w:line="580" w:lineRule="exact"/>
              <w:ind w:left="0" w:firstLine="0" w:firstLineChars="0"/>
              <w:jc w:val="center"/>
              <w:textAlignment w:val="baseline"/>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14</w:t>
            </w:r>
          </w:p>
        </w:tc>
        <w:tc>
          <w:tcPr>
            <w:tcW w:w="4546" w:type="dxa"/>
            <w:vAlign w:val="center"/>
          </w:tcPr>
          <w:p w14:paraId="6D5C5CF0">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伪造、变造、买卖、转借、冒用船舶检验证书、船舶登记证书、船员适任证书或者其他适任证件的处罚</w:t>
            </w:r>
          </w:p>
        </w:tc>
        <w:tc>
          <w:tcPr>
            <w:tcW w:w="5314" w:type="dxa"/>
            <w:vAlign w:val="center"/>
          </w:tcPr>
          <w:p w14:paraId="4C94A2C8">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《中华人民共和国内河交通安全管理条例》（根据2019年3月2日国务院令第709号《国务院关于修改部分行政法规的决定》第三次修正）第七十九条  违反本条例的规定，伪造、变造、买卖、转借、冒用船舶检验证书、船舶登记证书、船员适任证书或者其他适任证件的，由海事管理机构没收有关的证书或者证件；有违法所得的，没收违法所得，并处违法所得2倍以上5倍以下的罚款；没有违法所得或者违法所得不足2万元的，处1万元以上5万元以下的罚款；触犯刑律的，依照刑法关于伪造、变造、买卖国家机关公文、证件罪或者其他罪的规定，依法追究刑事责任。</w:t>
            </w:r>
          </w:p>
        </w:tc>
        <w:tc>
          <w:tcPr>
            <w:tcW w:w="830" w:type="dxa"/>
            <w:vAlign w:val="center"/>
          </w:tcPr>
          <w:p w14:paraId="1ACE7426">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032282CE">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r w14:paraId="4738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291C4C9">
            <w:pPr>
              <w:pStyle w:val="12"/>
              <w:pageBreakBefore w:val="0"/>
              <w:widowControl w:val="0"/>
              <w:kinsoku/>
              <w:wordWrap/>
              <w:overflowPunct/>
              <w:topLinePunct w:val="0"/>
              <w:autoSpaceDE/>
              <w:autoSpaceDN/>
              <w:bidi w:val="0"/>
              <w:adjustRightInd w:val="0"/>
              <w:snapToGrid w:val="0"/>
              <w:spacing w:line="580" w:lineRule="exact"/>
              <w:ind w:left="0" w:firstLine="0" w:firstLineChars="0"/>
              <w:jc w:val="center"/>
              <w:textAlignment w:val="baseline"/>
              <w:rPr>
                <w:rFonts w:hint="default" w:ascii="仿宋_GB2312" w:hAnsi="仿宋_GB2312" w:eastAsia="仿宋_GB2312" w:cs="仿宋_GB2312"/>
                <w:bCs/>
                <w:sz w:val="21"/>
                <w:szCs w:val="21"/>
                <w:lang w:val="en-US" w:eastAsia="zh-CN"/>
              </w:rPr>
            </w:pPr>
            <w:r>
              <w:rPr>
                <w:rFonts w:hint="eastAsia" w:ascii="仿宋_GB2312" w:hAnsi="仿宋_GB2312" w:eastAsia="仿宋_GB2312" w:cs="仿宋_GB2312"/>
                <w:bCs/>
                <w:sz w:val="21"/>
                <w:szCs w:val="21"/>
                <w:lang w:val="en-US" w:eastAsia="zh-CN"/>
              </w:rPr>
              <w:t>15</w:t>
            </w:r>
          </w:p>
        </w:tc>
        <w:tc>
          <w:tcPr>
            <w:tcW w:w="4546" w:type="dxa"/>
            <w:vAlign w:val="center"/>
          </w:tcPr>
          <w:p w14:paraId="5168A608">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船舶、浮动设施的所有人或者经营人指使、强令船员违章操作的处罚</w:t>
            </w:r>
          </w:p>
          <w:p w14:paraId="7677EB37">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p>
        </w:tc>
        <w:tc>
          <w:tcPr>
            <w:tcW w:w="5314" w:type="dxa"/>
            <w:vAlign w:val="center"/>
          </w:tcPr>
          <w:p w14:paraId="7107E330">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《中华人民共和国内河交通安全管理条例》（根据2019年3月2日国务院令第709号《国务院关于修改部分行政法规的决定》第三次修正） 第八十条  违反本条例的规定，船舶、浮动设施的所有人或者经营人指使、强令船员违章操作的，由海事管理机构给予警告，处1万元以上5万元以下的罚款，并可以责令停航或者停止作业；造成重大伤亡事故或者严重后果的，依照刑法关于重大责任事故罪或者其他罪的规定，依法追究刑事责任。</w:t>
            </w:r>
          </w:p>
        </w:tc>
        <w:tc>
          <w:tcPr>
            <w:tcW w:w="830" w:type="dxa"/>
            <w:vAlign w:val="center"/>
          </w:tcPr>
          <w:p w14:paraId="71AFAD59">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1312E8A4">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r w14:paraId="64B22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9661635">
            <w:pPr>
              <w:pStyle w:val="12"/>
              <w:pageBreakBefore w:val="0"/>
              <w:widowControl w:val="0"/>
              <w:kinsoku/>
              <w:wordWrap/>
              <w:overflowPunct/>
              <w:topLinePunct w:val="0"/>
              <w:autoSpaceDE/>
              <w:autoSpaceDN/>
              <w:bidi w:val="0"/>
              <w:adjustRightInd w:val="0"/>
              <w:snapToGrid w:val="0"/>
              <w:spacing w:line="580" w:lineRule="exact"/>
              <w:ind w:left="0" w:firstLine="0" w:firstLineChars="0"/>
              <w:jc w:val="center"/>
              <w:textAlignment w:val="baseline"/>
              <w:rPr>
                <w:rFonts w:hint="default" w:ascii="仿宋_GB2312" w:hAnsi="仿宋_GB2312" w:eastAsia="仿宋_GB2312" w:cs="仿宋_GB2312"/>
                <w:bCs/>
                <w:sz w:val="21"/>
                <w:szCs w:val="21"/>
                <w:lang w:val="en-US" w:eastAsia="zh-CN"/>
              </w:rPr>
            </w:pPr>
            <w:r>
              <w:rPr>
                <w:rFonts w:hint="eastAsia" w:ascii="仿宋_GB2312" w:hAnsi="仿宋_GB2312" w:eastAsia="仿宋_GB2312" w:cs="仿宋_GB2312"/>
                <w:bCs/>
                <w:sz w:val="21"/>
                <w:szCs w:val="21"/>
                <w:lang w:val="en-US" w:eastAsia="zh-CN"/>
              </w:rPr>
              <w:t>16</w:t>
            </w:r>
          </w:p>
        </w:tc>
        <w:tc>
          <w:tcPr>
            <w:tcW w:w="4546" w:type="dxa"/>
            <w:vAlign w:val="center"/>
          </w:tcPr>
          <w:p w14:paraId="29CDE209">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船舶不具备安全技术条件从事货物、旅客运输，或者超载运输货物、旅客的处罚</w:t>
            </w:r>
          </w:p>
          <w:p w14:paraId="3B06F0A6">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p>
          <w:p w14:paraId="0E54AF99">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p>
        </w:tc>
        <w:tc>
          <w:tcPr>
            <w:tcW w:w="5314" w:type="dxa"/>
            <w:vAlign w:val="center"/>
          </w:tcPr>
          <w:p w14:paraId="30B147F0">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《中华人民共和国内河交通安全管理条例》（根据2019年3月2日国务院令第709号《国务院关于修改部分行政法规的决定》第三次修正） 第八十二条  违反本条例的规定，船舶不具备安全技术条件从事货物、旅客运输，或者超载运输货物、旅客的，由海事管理机构责令改正，处2万元以上10万元以下的罚款，可以对责任船员给予暂扣适任证书或者其他适任证件6个月以上直至吊销适任证书或者其他适任证件的处罚，并对超载运输的船舶强制卸载，因卸载而发生的卸货费、存货费、旅客安置费和船舶监管费由船舶所有人或者经营人承担；发生重大伤亡事故或者造成其他严重后果的，依照刑法关于重大劳动安全事故罪或者其他罪的规定，依法追究刑事责任。</w:t>
            </w:r>
          </w:p>
        </w:tc>
        <w:tc>
          <w:tcPr>
            <w:tcW w:w="830" w:type="dxa"/>
            <w:vAlign w:val="center"/>
          </w:tcPr>
          <w:p w14:paraId="7511EC0E">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lang w:eastAsia="zh-CN"/>
              </w:rPr>
            </w:pPr>
          </w:p>
          <w:p w14:paraId="11E3E298">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行政</w:t>
            </w:r>
          </w:p>
          <w:p w14:paraId="091DCD69">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处罚</w:t>
            </w:r>
          </w:p>
          <w:p w14:paraId="48C8F129">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lang w:val="en-US" w:eastAsia="zh-CN"/>
              </w:rPr>
            </w:pPr>
            <w:r>
              <w:rPr>
                <w:rFonts w:hint="eastAsia" w:ascii="仿宋_GB2312" w:hAnsi="仿宋_GB2312" w:eastAsia="仿宋_GB2312" w:cs="仿宋_GB2312"/>
                <w:bCs/>
                <w:sz w:val="21"/>
                <w:szCs w:val="21"/>
                <w:lang w:val="en-US" w:eastAsia="zh-CN"/>
              </w:rPr>
              <w:t xml:space="preserve"> </w:t>
            </w:r>
          </w:p>
        </w:tc>
        <w:tc>
          <w:tcPr>
            <w:tcW w:w="991" w:type="dxa"/>
            <w:vAlign w:val="center"/>
          </w:tcPr>
          <w:p w14:paraId="096A112B">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市交通</w:t>
            </w:r>
          </w:p>
          <w:p w14:paraId="09DD834F">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运输局</w:t>
            </w:r>
          </w:p>
        </w:tc>
      </w:tr>
      <w:tr w14:paraId="516BB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8F9081A">
            <w:pPr>
              <w:pageBreakBefore w:val="0"/>
              <w:widowControl w:val="0"/>
              <w:kinsoku/>
              <w:wordWrap/>
              <w:overflowPunct/>
              <w:topLinePunct w:val="0"/>
              <w:autoSpaceDE/>
              <w:autoSpaceDN/>
              <w:bidi w:val="0"/>
              <w:adjustRightInd w:val="0"/>
              <w:snapToGrid w:val="0"/>
              <w:spacing w:line="580" w:lineRule="exact"/>
              <w:ind w:firstLine="210" w:firstLineChars="100"/>
              <w:jc w:val="both"/>
              <w:textAlignment w:val="baseline"/>
              <w:rPr>
                <w:rFonts w:hint="default" w:ascii="仿宋_GB2312" w:hAnsi="仿宋_GB2312" w:eastAsia="仿宋_GB2312" w:cs="仿宋_GB2312"/>
                <w:bCs/>
                <w:sz w:val="21"/>
                <w:szCs w:val="21"/>
                <w:lang w:val="en-US" w:eastAsia="zh-CN"/>
              </w:rPr>
            </w:pPr>
            <w:r>
              <w:rPr>
                <w:rFonts w:hint="eastAsia" w:ascii="仿宋_GB2312" w:hAnsi="仿宋_GB2312" w:eastAsia="仿宋_GB2312" w:cs="仿宋_GB2312"/>
                <w:bCs/>
                <w:sz w:val="21"/>
                <w:szCs w:val="21"/>
                <w:lang w:val="en-US" w:eastAsia="zh-CN"/>
              </w:rPr>
              <w:t>17</w:t>
            </w:r>
          </w:p>
        </w:tc>
        <w:tc>
          <w:tcPr>
            <w:tcW w:w="4546" w:type="dxa"/>
            <w:vAlign w:val="center"/>
          </w:tcPr>
          <w:p w14:paraId="71A4BBA0">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水路运输经营者使用未取得船舶营运证件的船舶从事水路运输的处罚</w:t>
            </w:r>
          </w:p>
          <w:p w14:paraId="3D107D04">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p>
        </w:tc>
        <w:tc>
          <w:tcPr>
            <w:tcW w:w="5314" w:type="dxa"/>
            <w:vAlign w:val="center"/>
          </w:tcPr>
          <w:p w14:paraId="278D694B">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p>
          <w:p w14:paraId="6838EAB9">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《国内水路运输管理条例》（根据2017年3月1日国务院令第676号《国务院关于修改部分行政法规的决定》第二次修订）第三十四条第一款　水路运输经营者使用未取得船舶营运证件的船舶从事水路运输的，由负责水路运输管理的部门责令该船停止经营，没收违法所得，并处违法所得1倍以上5倍以下的罚款；没有违法所得或者违法所得不足2万元的，处2万元以上10万元以下的罚款。</w:t>
            </w:r>
          </w:p>
          <w:p w14:paraId="2F5D5854">
            <w:pPr>
              <w:pageBreakBefore w:val="0"/>
              <w:widowControl w:val="0"/>
              <w:kinsoku/>
              <w:wordWrap/>
              <w:overflowPunct/>
              <w:topLinePunct w:val="0"/>
              <w:autoSpaceDE/>
              <w:autoSpaceDN/>
              <w:bidi w:val="0"/>
              <w:adjustRightInd w:val="0"/>
              <w:snapToGrid w:val="0"/>
              <w:spacing w:line="580" w:lineRule="exact"/>
              <w:ind w:left="0"/>
              <w:textAlignment w:val="baseline"/>
              <w:rPr>
                <w:rFonts w:hint="eastAsia" w:ascii="仿宋_GB2312" w:hAnsi="仿宋_GB2312" w:eastAsia="仿宋_GB2312" w:cs="仿宋_GB2312"/>
                <w:bCs/>
                <w:sz w:val="21"/>
                <w:szCs w:val="21"/>
              </w:rPr>
            </w:pPr>
          </w:p>
        </w:tc>
        <w:tc>
          <w:tcPr>
            <w:tcW w:w="830" w:type="dxa"/>
            <w:vAlign w:val="center"/>
          </w:tcPr>
          <w:p w14:paraId="1C307266">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411C3C4B">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r w14:paraId="0EA6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DA58354">
            <w:pPr>
              <w:pStyle w:val="12"/>
              <w:pageBreakBefore w:val="0"/>
              <w:widowControl w:val="0"/>
              <w:kinsoku/>
              <w:wordWrap/>
              <w:overflowPunct/>
              <w:topLinePunct w:val="0"/>
              <w:autoSpaceDE/>
              <w:autoSpaceDN/>
              <w:bidi w:val="0"/>
              <w:adjustRightInd w:val="0"/>
              <w:snapToGrid w:val="0"/>
              <w:spacing w:line="580" w:lineRule="exact"/>
              <w:ind w:left="0" w:firstLine="0" w:firstLineChars="0"/>
              <w:jc w:val="center"/>
              <w:textAlignment w:val="baseline"/>
              <w:rPr>
                <w:rFonts w:hint="eastAsia" w:ascii="仿宋_GB2312" w:hAnsi="仿宋_GB2312" w:eastAsia="仿宋_GB2312" w:cs="仿宋_GB2312"/>
                <w:sz w:val="21"/>
                <w:szCs w:val="21"/>
              </w:rPr>
            </w:pPr>
          </w:p>
          <w:p w14:paraId="76ADEE65">
            <w:pPr>
              <w:pStyle w:val="12"/>
              <w:pageBreakBefore w:val="0"/>
              <w:widowControl w:val="0"/>
              <w:kinsoku/>
              <w:wordWrap/>
              <w:overflowPunct/>
              <w:topLinePunct w:val="0"/>
              <w:autoSpaceDE/>
              <w:autoSpaceDN/>
              <w:bidi w:val="0"/>
              <w:adjustRightInd w:val="0"/>
              <w:snapToGrid w:val="0"/>
              <w:spacing w:line="580" w:lineRule="exact"/>
              <w:ind w:left="0" w:firstLine="0" w:firstLineChars="0"/>
              <w:jc w:val="center"/>
              <w:textAlignment w:val="baseline"/>
              <w:rPr>
                <w:rFonts w:hint="eastAsia" w:ascii="仿宋_GB2312" w:hAnsi="仿宋_GB2312" w:eastAsia="仿宋_GB2312" w:cs="仿宋_GB2312"/>
                <w:sz w:val="21"/>
                <w:szCs w:val="21"/>
              </w:rPr>
            </w:pPr>
          </w:p>
          <w:p w14:paraId="5BDCEC0A">
            <w:pPr>
              <w:pStyle w:val="12"/>
              <w:pageBreakBefore w:val="0"/>
              <w:widowControl w:val="0"/>
              <w:kinsoku/>
              <w:wordWrap/>
              <w:overflowPunct/>
              <w:topLinePunct w:val="0"/>
              <w:autoSpaceDE/>
              <w:autoSpaceDN/>
              <w:bidi w:val="0"/>
              <w:adjustRightInd w:val="0"/>
              <w:snapToGrid w:val="0"/>
              <w:spacing w:line="580" w:lineRule="exact"/>
              <w:ind w:left="0" w:firstLine="0" w:firstLineChars="0"/>
              <w:jc w:val="center"/>
              <w:textAlignment w:val="baseline"/>
              <w:rPr>
                <w:rFonts w:hint="eastAsia" w:ascii="仿宋_GB2312" w:hAnsi="仿宋_GB2312" w:eastAsia="仿宋_GB2312" w:cs="仿宋_GB2312"/>
                <w:sz w:val="21"/>
                <w:szCs w:val="21"/>
              </w:rPr>
            </w:pPr>
          </w:p>
          <w:p w14:paraId="7CBAA78C">
            <w:pPr>
              <w:pStyle w:val="12"/>
              <w:pageBreakBefore w:val="0"/>
              <w:widowControl w:val="0"/>
              <w:kinsoku/>
              <w:wordWrap/>
              <w:overflowPunct/>
              <w:topLinePunct w:val="0"/>
              <w:autoSpaceDE/>
              <w:autoSpaceDN/>
              <w:bidi w:val="0"/>
              <w:adjustRightInd w:val="0"/>
              <w:snapToGrid w:val="0"/>
              <w:spacing w:line="580" w:lineRule="exact"/>
              <w:ind w:left="0" w:firstLine="0" w:firstLineChars="0"/>
              <w:jc w:val="center"/>
              <w:textAlignment w:val="baseline"/>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18</w:t>
            </w:r>
          </w:p>
        </w:tc>
        <w:tc>
          <w:tcPr>
            <w:tcW w:w="4546" w:type="dxa"/>
            <w:vAlign w:val="center"/>
          </w:tcPr>
          <w:p w14:paraId="091CE693">
            <w:pPr>
              <w:pageBreakBefore w:val="0"/>
              <w:widowControl w:val="0"/>
              <w:kinsoku/>
              <w:wordWrap/>
              <w:overflowPunct/>
              <w:topLinePunct w:val="0"/>
              <w:autoSpaceDE/>
              <w:autoSpaceDN/>
              <w:bidi w:val="0"/>
              <w:adjustRightInd w:val="0"/>
              <w:snapToGrid w:val="0"/>
              <w:spacing w:line="580" w:lineRule="exact"/>
              <w:ind w:left="0"/>
              <w:jc w:val="left"/>
              <w:textAlignment w:val="baseline"/>
              <w:rPr>
                <w:rFonts w:hint="eastAsia" w:ascii="仿宋_GB2312" w:hAnsi="仿宋_GB2312" w:eastAsia="仿宋_GB2312" w:cs="仿宋_GB2312"/>
                <w:bCs/>
                <w:sz w:val="21"/>
                <w:szCs w:val="21"/>
              </w:rPr>
            </w:pPr>
          </w:p>
          <w:p w14:paraId="49E0A50D">
            <w:pPr>
              <w:pageBreakBefore w:val="0"/>
              <w:widowControl w:val="0"/>
              <w:kinsoku/>
              <w:wordWrap/>
              <w:overflowPunct/>
              <w:topLinePunct w:val="0"/>
              <w:autoSpaceDE/>
              <w:autoSpaceDN/>
              <w:bidi w:val="0"/>
              <w:adjustRightInd w:val="0"/>
              <w:snapToGrid w:val="0"/>
              <w:spacing w:line="580" w:lineRule="exact"/>
              <w:ind w:left="0"/>
              <w:jc w:val="left"/>
              <w:textAlignment w:val="baseline"/>
              <w:rPr>
                <w:rFonts w:hint="eastAsia" w:ascii="仿宋_GB2312" w:hAnsi="仿宋_GB2312" w:eastAsia="仿宋_GB2312" w:cs="仿宋_GB2312"/>
                <w:bCs/>
                <w:sz w:val="21"/>
                <w:szCs w:val="21"/>
              </w:rPr>
            </w:pPr>
          </w:p>
          <w:p w14:paraId="301163FD">
            <w:pPr>
              <w:pageBreakBefore w:val="0"/>
              <w:widowControl w:val="0"/>
              <w:kinsoku/>
              <w:wordWrap/>
              <w:overflowPunct/>
              <w:topLinePunct w:val="0"/>
              <w:autoSpaceDE/>
              <w:autoSpaceDN/>
              <w:bidi w:val="0"/>
              <w:adjustRightInd w:val="0"/>
              <w:snapToGrid w:val="0"/>
              <w:spacing w:line="580" w:lineRule="exact"/>
              <w:ind w:left="0"/>
              <w:jc w:val="left"/>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施工单位偷工减料，使用不合格的建筑材料、建筑构配件和设备的，或者不按照工程设计图纸、施工技术标准施工的处罚</w:t>
            </w:r>
          </w:p>
        </w:tc>
        <w:tc>
          <w:tcPr>
            <w:tcW w:w="5314" w:type="dxa"/>
            <w:vAlign w:val="center"/>
          </w:tcPr>
          <w:p w14:paraId="2B0B9D84">
            <w:pPr>
              <w:pageBreakBefore w:val="0"/>
              <w:widowControl w:val="0"/>
              <w:kinsoku/>
              <w:wordWrap/>
              <w:overflowPunct/>
              <w:topLinePunct w:val="0"/>
              <w:autoSpaceDE/>
              <w:autoSpaceDN/>
              <w:bidi w:val="0"/>
              <w:adjustRightInd w:val="0"/>
              <w:snapToGrid w:val="0"/>
              <w:spacing w:line="580" w:lineRule="exact"/>
              <w:ind w:left="0"/>
              <w:jc w:val="left"/>
              <w:textAlignment w:val="baseline"/>
              <w:rPr>
                <w:rFonts w:hint="eastAsia" w:ascii="仿宋_GB2312" w:hAnsi="仿宋_GB2312" w:eastAsia="仿宋_GB2312" w:cs="仿宋_GB2312"/>
                <w:bCs/>
                <w:sz w:val="21"/>
                <w:szCs w:val="21"/>
              </w:rPr>
            </w:pPr>
          </w:p>
          <w:p w14:paraId="6033B818">
            <w:pPr>
              <w:pageBreakBefore w:val="0"/>
              <w:widowControl w:val="0"/>
              <w:kinsoku/>
              <w:wordWrap/>
              <w:overflowPunct/>
              <w:topLinePunct w:val="0"/>
              <w:autoSpaceDE/>
              <w:autoSpaceDN/>
              <w:bidi w:val="0"/>
              <w:adjustRightInd w:val="0"/>
              <w:snapToGrid w:val="0"/>
              <w:spacing w:line="580" w:lineRule="exact"/>
              <w:ind w:left="0"/>
              <w:jc w:val="left"/>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建设工程质量管理条例》（根据2019年4月23日《国务院关于修改部分行政法规的决定》第二次修订）第六十四条违反本条例规定，施工单位在施工中偷工减料的，使用不合格的建筑材料、建筑构配件和设备的，或者有不按照工程设计图纸或者施工技术标准施工的其他行为的，责令改正，处工程合同价款2%以上4%以下的罚款；造成建设工程质量不符合规定的质量标准的，负责返工、修理，并赔偿因此造成的损失；情节严重的，责令停业整顿，降低资质等级或者吊销资质证书。</w:t>
            </w:r>
          </w:p>
          <w:p w14:paraId="79FA921A">
            <w:pPr>
              <w:pageBreakBefore w:val="0"/>
              <w:widowControl w:val="0"/>
              <w:kinsoku/>
              <w:wordWrap/>
              <w:overflowPunct/>
              <w:topLinePunct w:val="0"/>
              <w:autoSpaceDE/>
              <w:autoSpaceDN/>
              <w:bidi w:val="0"/>
              <w:adjustRightInd w:val="0"/>
              <w:snapToGrid w:val="0"/>
              <w:spacing w:line="580" w:lineRule="exact"/>
              <w:ind w:left="0"/>
              <w:jc w:val="left"/>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《公路水运工程质量监督管理规定》（根据2017年9月4日交通运输部第28号令公布）第四十条　违反本规定第十四条规定，施工单位不按照工程设计图纸或者施工技术标准施工的，依照《建设工程质量管理条例》第六十四条规定，责令改正，按以下标准处以罚款；情节严重的，责令停工整顿：</w:t>
            </w:r>
          </w:p>
          <w:p w14:paraId="53B0B269">
            <w:pPr>
              <w:pageBreakBefore w:val="0"/>
              <w:widowControl w:val="0"/>
              <w:kinsoku/>
              <w:wordWrap/>
              <w:overflowPunct/>
              <w:topLinePunct w:val="0"/>
              <w:autoSpaceDE/>
              <w:autoSpaceDN/>
              <w:bidi w:val="0"/>
              <w:adjustRightInd w:val="0"/>
              <w:snapToGrid w:val="0"/>
              <w:spacing w:line="580" w:lineRule="exact"/>
              <w:ind w:left="0"/>
              <w:jc w:val="left"/>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（一）未造成工程质量事故的，处所涉及单位工程合同价款2%的罚款；</w:t>
            </w:r>
          </w:p>
          <w:p w14:paraId="663CF764">
            <w:pPr>
              <w:pageBreakBefore w:val="0"/>
              <w:widowControl w:val="0"/>
              <w:kinsoku/>
              <w:wordWrap/>
              <w:overflowPunct/>
              <w:topLinePunct w:val="0"/>
              <w:autoSpaceDE/>
              <w:autoSpaceDN/>
              <w:bidi w:val="0"/>
              <w:adjustRightInd w:val="0"/>
              <w:snapToGrid w:val="0"/>
              <w:spacing w:line="580" w:lineRule="exact"/>
              <w:ind w:left="0"/>
              <w:jc w:val="left"/>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（二）造成工程质量一般事故的，处所涉及单位工程合同价款2%以上3%以下的罚款；</w:t>
            </w:r>
          </w:p>
          <w:p w14:paraId="0C850E50">
            <w:pPr>
              <w:pageBreakBefore w:val="0"/>
              <w:widowControl w:val="0"/>
              <w:kinsoku/>
              <w:wordWrap/>
              <w:overflowPunct/>
              <w:topLinePunct w:val="0"/>
              <w:autoSpaceDE/>
              <w:autoSpaceDN/>
              <w:bidi w:val="0"/>
              <w:adjustRightInd w:val="0"/>
              <w:snapToGrid w:val="0"/>
              <w:spacing w:line="580" w:lineRule="exact"/>
              <w:ind w:left="0"/>
              <w:jc w:val="left"/>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（三）造成工程质量较大及以上等级事故的，处所涉及单位工程合同价款3%以上4%以下的罚款。</w:t>
            </w:r>
          </w:p>
        </w:tc>
        <w:tc>
          <w:tcPr>
            <w:tcW w:w="830" w:type="dxa"/>
            <w:vAlign w:val="center"/>
          </w:tcPr>
          <w:p w14:paraId="17D61F30">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p>
          <w:p w14:paraId="7EAC22EC">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p>
          <w:p w14:paraId="48C12720">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p>
          <w:p w14:paraId="5D5F25D7">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p>
          <w:p w14:paraId="293F5CF0">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p>
          <w:p w14:paraId="0F309903">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19F8B29E">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p>
          <w:p w14:paraId="7BFE75B9">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p>
          <w:p w14:paraId="46D9D2C3">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p>
          <w:p w14:paraId="4101DF8A">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p>
          <w:p w14:paraId="34C22203">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p>
          <w:p w14:paraId="02D77564">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r w14:paraId="10DA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0" w:hRule="atLeast"/>
          <w:jc w:val="center"/>
        </w:trPr>
        <w:tc>
          <w:tcPr>
            <w:tcW w:w="725" w:type="dxa"/>
            <w:vAlign w:val="center"/>
          </w:tcPr>
          <w:p w14:paraId="39C5E1DA">
            <w:pPr>
              <w:pStyle w:val="12"/>
              <w:pageBreakBefore w:val="0"/>
              <w:widowControl w:val="0"/>
              <w:kinsoku/>
              <w:wordWrap/>
              <w:overflowPunct/>
              <w:topLinePunct w:val="0"/>
              <w:autoSpaceDE/>
              <w:autoSpaceDN/>
              <w:bidi w:val="0"/>
              <w:adjustRightInd w:val="0"/>
              <w:snapToGrid w:val="0"/>
              <w:spacing w:line="580" w:lineRule="exact"/>
              <w:ind w:left="0" w:firstLine="0" w:firstLineChars="0"/>
              <w:jc w:val="center"/>
              <w:textAlignment w:val="baseline"/>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19</w:t>
            </w:r>
          </w:p>
        </w:tc>
        <w:tc>
          <w:tcPr>
            <w:tcW w:w="4546" w:type="dxa"/>
            <w:vAlign w:val="center"/>
          </w:tcPr>
          <w:p w14:paraId="5B76F6F3">
            <w:pPr>
              <w:pageBreakBefore w:val="0"/>
              <w:widowControl w:val="0"/>
              <w:kinsoku/>
              <w:wordWrap/>
              <w:overflowPunct/>
              <w:topLinePunct w:val="0"/>
              <w:autoSpaceDE/>
              <w:autoSpaceDN/>
              <w:bidi w:val="0"/>
              <w:adjustRightInd w:val="0"/>
              <w:snapToGrid w:val="0"/>
              <w:spacing w:line="580" w:lineRule="exact"/>
              <w:ind w:left="0"/>
              <w:jc w:val="left"/>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施工单位未对建筑材料、建筑构配件、设备和商品混凝土进行检测，或者未对涉及结构安全的试块、试件以及有关材料进行取样检测的处罚</w:t>
            </w:r>
          </w:p>
        </w:tc>
        <w:tc>
          <w:tcPr>
            <w:tcW w:w="5314" w:type="dxa"/>
            <w:vAlign w:val="center"/>
          </w:tcPr>
          <w:p w14:paraId="3C0BA9F4">
            <w:pPr>
              <w:pageBreakBefore w:val="0"/>
              <w:widowControl w:val="0"/>
              <w:kinsoku/>
              <w:wordWrap/>
              <w:overflowPunct/>
              <w:topLinePunct w:val="0"/>
              <w:autoSpaceDE/>
              <w:autoSpaceDN/>
              <w:bidi w:val="0"/>
              <w:adjustRightInd w:val="0"/>
              <w:snapToGrid w:val="0"/>
              <w:spacing w:line="580" w:lineRule="exact"/>
              <w:ind w:left="0"/>
              <w:jc w:val="left"/>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《公路水运工程质量监督管理规定》（根据2017年9月4日交通运输部第28号令公布）第四十一条　违反本规定第十四条规定，施工单位未按规定对原材料、混合料、构配件等进行检验的，依照《建设工程质量管理条例》第六十五条规定，责令改正，按以下标准处以罚款；情节严重的，责令停工整顿：</w:t>
            </w:r>
          </w:p>
          <w:p w14:paraId="1E81BCA6">
            <w:pPr>
              <w:pageBreakBefore w:val="0"/>
              <w:widowControl w:val="0"/>
              <w:kinsoku/>
              <w:wordWrap/>
              <w:overflowPunct/>
              <w:topLinePunct w:val="0"/>
              <w:autoSpaceDE/>
              <w:autoSpaceDN/>
              <w:bidi w:val="0"/>
              <w:adjustRightInd w:val="0"/>
              <w:snapToGrid w:val="0"/>
              <w:spacing w:line="580" w:lineRule="exact"/>
              <w:ind w:left="0"/>
              <w:jc w:val="left"/>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（一）未造成工程质量事故的，处10万元以上15万元以下的罚款；</w:t>
            </w:r>
          </w:p>
          <w:p w14:paraId="4F8F1FE7">
            <w:pPr>
              <w:pageBreakBefore w:val="0"/>
              <w:widowControl w:val="0"/>
              <w:kinsoku/>
              <w:wordWrap/>
              <w:overflowPunct/>
              <w:topLinePunct w:val="0"/>
              <w:autoSpaceDE/>
              <w:autoSpaceDN/>
              <w:bidi w:val="0"/>
              <w:adjustRightInd w:val="0"/>
              <w:snapToGrid w:val="0"/>
              <w:spacing w:line="580" w:lineRule="exact"/>
              <w:ind w:left="0"/>
              <w:jc w:val="left"/>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（二）造成工程质量事故的，处15万元以上20万元以下的罚款。</w:t>
            </w:r>
          </w:p>
          <w:p w14:paraId="49CFD517">
            <w:pPr>
              <w:pageBreakBefore w:val="0"/>
              <w:widowControl w:val="0"/>
              <w:kinsoku/>
              <w:wordWrap/>
              <w:overflowPunct/>
              <w:topLinePunct w:val="0"/>
              <w:autoSpaceDE/>
              <w:autoSpaceDN/>
              <w:bidi w:val="0"/>
              <w:adjustRightInd w:val="0"/>
              <w:snapToGrid w:val="0"/>
              <w:spacing w:line="580" w:lineRule="exact"/>
              <w:ind w:left="0"/>
              <w:jc w:val="left"/>
              <w:textAlignment w:val="baseline"/>
              <w:rPr>
                <w:rFonts w:hint="eastAsia" w:ascii="仿宋_GB2312" w:hAnsi="仿宋_GB2312" w:eastAsia="仿宋_GB2312" w:cs="仿宋_GB2312"/>
                <w:bCs/>
                <w:sz w:val="21"/>
                <w:szCs w:val="21"/>
              </w:rPr>
            </w:pPr>
          </w:p>
        </w:tc>
        <w:tc>
          <w:tcPr>
            <w:tcW w:w="830" w:type="dxa"/>
            <w:vAlign w:val="center"/>
          </w:tcPr>
          <w:p w14:paraId="2E1F4CFF">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行政处罚</w:t>
            </w:r>
          </w:p>
        </w:tc>
        <w:tc>
          <w:tcPr>
            <w:tcW w:w="991" w:type="dxa"/>
            <w:vAlign w:val="center"/>
          </w:tcPr>
          <w:p w14:paraId="6A5D3E0A">
            <w:pPr>
              <w:pageBreakBefore w:val="0"/>
              <w:widowControl w:val="0"/>
              <w:kinsoku/>
              <w:wordWrap/>
              <w:overflowPunct/>
              <w:topLinePunct w:val="0"/>
              <w:autoSpaceDE/>
              <w:autoSpaceDN/>
              <w:bidi w:val="0"/>
              <w:adjustRightInd w:val="0"/>
              <w:snapToGrid w:val="0"/>
              <w:spacing w:line="580" w:lineRule="exact"/>
              <w:ind w:left="0"/>
              <w:jc w:val="center"/>
              <w:textAlignment w:val="baseline"/>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lang w:eastAsia="zh-CN"/>
              </w:rPr>
              <w:t>江宁区交通运输局</w:t>
            </w:r>
          </w:p>
        </w:tc>
      </w:tr>
    </w:tbl>
    <w:p w14:paraId="1050A464">
      <w:pPr>
        <w:pageBreakBefore w:val="0"/>
        <w:widowControl w:val="0"/>
        <w:kinsoku/>
        <w:wordWrap/>
        <w:overflowPunct/>
        <w:topLinePunct w:val="0"/>
        <w:autoSpaceDE/>
        <w:autoSpaceDN/>
        <w:bidi w:val="0"/>
        <w:adjustRightInd w:val="0"/>
        <w:snapToGrid w:val="0"/>
        <w:spacing w:line="580" w:lineRule="exact"/>
        <w:ind w:left="0"/>
        <w:textAlignment w:val="baseline"/>
        <w:rPr>
          <w:rFonts w:ascii="仿宋_GB2312" w:eastAsia="仿宋_GB2312"/>
          <w:sz w:val="21"/>
          <w:szCs w:val="21"/>
        </w:rPr>
      </w:pPr>
    </w:p>
    <w:sectPr>
      <w:footerReference r:id="rId5" w:type="default"/>
      <w:footerReference r:id="rId6" w:type="even"/>
      <w:pgSz w:w="16840" w:h="11907" w:orient="landscape"/>
      <w:pgMar w:top="1474" w:right="1276" w:bottom="1418" w:left="1985" w:header="1701" w:footer="1588" w:gutter="0"/>
      <w:cols w:space="425" w:num="1"/>
      <w:docGrid w:linePitch="455" w:charSpace="1680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8CFFA">
    <w:pPr>
      <w:framePr w:wrap="around" w:vAnchor="text" w:hAnchor="margin" w:xAlign="outside" w:y="171"/>
      <w:ind w:left="320" w:leftChars="100" w:right="320" w:rightChars="100"/>
      <w:rPr>
        <w:rStyle w:val="8"/>
        <w:rFonts w:eastAsia="方正仿宋_GBK"/>
      </w:rPr>
    </w:pPr>
    <w:r>
      <w:rPr>
        <w:rStyle w:val="8"/>
        <w:rFonts w:hint="eastAsia" w:eastAsia="方正仿宋_GBK"/>
      </w:rPr>
      <w:t>—</w:t>
    </w:r>
    <w:r>
      <w:rPr>
        <w:rStyle w:val="8"/>
        <w:rFonts w:eastAsia="方正仿宋_GBK"/>
      </w:rPr>
      <w:fldChar w:fldCharType="begin"/>
    </w:r>
    <w:r>
      <w:rPr>
        <w:rStyle w:val="8"/>
        <w:rFonts w:eastAsia="方正仿宋_GBK"/>
      </w:rPr>
      <w:instrText xml:space="preserve"> PAGE </w:instrText>
    </w:r>
    <w:r>
      <w:rPr>
        <w:rStyle w:val="8"/>
        <w:rFonts w:eastAsia="方正仿宋_GBK"/>
      </w:rPr>
      <w:fldChar w:fldCharType="separate"/>
    </w:r>
    <w:r>
      <w:rPr>
        <w:rStyle w:val="8"/>
        <w:rFonts w:eastAsia="方正仿宋_GBK"/>
      </w:rPr>
      <w:t>17</w:t>
    </w:r>
    <w:r>
      <w:rPr>
        <w:rStyle w:val="8"/>
        <w:rFonts w:eastAsia="方正仿宋_GBK"/>
      </w:rPr>
      <w:fldChar w:fldCharType="end"/>
    </w:r>
    <w:r>
      <w:rPr>
        <w:rStyle w:val="8"/>
        <w:rFonts w:hint="eastAsia" w:eastAsia="方正仿宋_GBK"/>
      </w:rPr>
      <w:t>—</w:t>
    </w:r>
  </w:p>
  <w:p w14:paraId="322A4206">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01EBF">
    <w:pPr>
      <w:framePr w:wrap="around" w:vAnchor="text" w:hAnchor="margin" w:xAlign="center" w:y="1"/>
    </w:pPr>
    <w:r>
      <w:fldChar w:fldCharType="begin"/>
    </w:r>
    <w:r>
      <w:instrText xml:space="preserve">PAGE  </w:instrText>
    </w:r>
    <w:r>
      <w:fldChar w:fldCharType="end"/>
    </w:r>
  </w:p>
  <w:p w14:paraId="0062ACDF">
    <w:pP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98" w:lineRule="auto"/>
      </w:pPr>
      <w:r>
        <w:separator/>
      </w:r>
    </w:p>
  </w:footnote>
  <w:footnote w:type="continuationSeparator" w:id="1">
    <w:p>
      <w:pPr>
        <w:spacing w:line="29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906B61"/>
    <w:multiLevelType w:val="multilevel"/>
    <w:tmpl w:val="06906B61"/>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201"/>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xOWU5OGNiMmY4NzcwZjE4YWMzZTViOTFiMGQ4YjUifQ=="/>
  </w:docVars>
  <w:rsids>
    <w:rsidRoot w:val="008F035D"/>
    <w:rsid w:val="0000067B"/>
    <w:rsid w:val="00000FBB"/>
    <w:rsid w:val="000024B1"/>
    <w:rsid w:val="00003424"/>
    <w:rsid w:val="0000764E"/>
    <w:rsid w:val="000102B9"/>
    <w:rsid w:val="0001076E"/>
    <w:rsid w:val="0001088A"/>
    <w:rsid w:val="000124D7"/>
    <w:rsid w:val="00012CF3"/>
    <w:rsid w:val="0001629A"/>
    <w:rsid w:val="00021907"/>
    <w:rsid w:val="000225C5"/>
    <w:rsid w:val="00027467"/>
    <w:rsid w:val="0003020F"/>
    <w:rsid w:val="00031EE7"/>
    <w:rsid w:val="000339E6"/>
    <w:rsid w:val="000355EF"/>
    <w:rsid w:val="0004194F"/>
    <w:rsid w:val="000434C1"/>
    <w:rsid w:val="00043E83"/>
    <w:rsid w:val="0004496B"/>
    <w:rsid w:val="00051BBD"/>
    <w:rsid w:val="00057CD2"/>
    <w:rsid w:val="00061E74"/>
    <w:rsid w:val="00066970"/>
    <w:rsid w:val="00067AD9"/>
    <w:rsid w:val="00070789"/>
    <w:rsid w:val="00076392"/>
    <w:rsid w:val="00082318"/>
    <w:rsid w:val="00084747"/>
    <w:rsid w:val="000854E5"/>
    <w:rsid w:val="00085C7A"/>
    <w:rsid w:val="00091F66"/>
    <w:rsid w:val="00097865"/>
    <w:rsid w:val="000A1A74"/>
    <w:rsid w:val="000A2A68"/>
    <w:rsid w:val="000A5810"/>
    <w:rsid w:val="000A6137"/>
    <w:rsid w:val="000B09B1"/>
    <w:rsid w:val="000B1C1C"/>
    <w:rsid w:val="000B4C42"/>
    <w:rsid w:val="000C213B"/>
    <w:rsid w:val="000C224D"/>
    <w:rsid w:val="000D0544"/>
    <w:rsid w:val="000D2661"/>
    <w:rsid w:val="000D2EF6"/>
    <w:rsid w:val="000E14B8"/>
    <w:rsid w:val="000E5507"/>
    <w:rsid w:val="000E62B6"/>
    <w:rsid w:val="000E7BB6"/>
    <w:rsid w:val="000F0FED"/>
    <w:rsid w:val="000F2456"/>
    <w:rsid w:val="000F361C"/>
    <w:rsid w:val="000F448F"/>
    <w:rsid w:val="000F7797"/>
    <w:rsid w:val="000F7C26"/>
    <w:rsid w:val="0010151B"/>
    <w:rsid w:val="00107D32"/>
    <w:rsid w:val="00113D32"/>
    <w:rsid w:val="00115406"/>
    <w:rsid w:val="001160F3"/>
    <w:rsid w:val="00117EFF"/>
    <w:rsid w:val="00124FDA"/>
    <w:rsid w:val="00127834"/>
    <w:rsid w:val="00127DD6"/>
    <w:rsid w:val="00130AFD"/>
    <w:rsid w:val="0013146A"/>
    <w:rsid w:val="00131B6A"/>
    <w:rsid w:val="001340EF"/>
    <w:rsid w:val="00134F8E"/>
    <w:rsid w:val="00141E1F"/>
    <w:rsid w:val="00143140"/>
    <w:rsid w:val="0014326E"/>
    <w:rsid w:val="00146B38"/>
    <w:rsid w:val="00146C4A"/>
    <w:rsid w:val="0015219E"/>
    <w:rsid w:val="00153E62"/>
    <w:rsid w:val="001601EA"/>
    <w:rsid w:val="00161031"/>
    <w:rsid w:val="001704DC"/>
    <w:rsid w:val="00177B54"/>
    <w:rsid w:val="00183E82"/>
    <w:rsid w:val="00187030"/>
    <w:rsid w:val="001879CE"/>
    <w:rsid w:val="00192D73"/>
    <w:rsid w:val="001935B5"/>
    <w:rsid w:val="00194747"/>
    <w:rsid w:val="00195898"/>
    <w:rsid w:val="00197D99"/>
    <w:rsid w:val="001A1109"/>
    <w:rsid w:val="001A438B"/>
    <w:rsid w:val="001A699E"/>
    <w:rsid w:val="001B0401"/>
    <w:rsid w:val="001B3168"/>
    <w:rsid w:val="001B3B4B"/>
    <w:rsid w:val="001B4A99"/>
    <w:rsid w:val="001C0E01"/>
    <w:rsid w:val="001C157D"/>
    <w:rsid w:val="001C7034"/>
    <w:rsid w:val="001D04DB"/>
    <w:rsid w:val="001D1AEA"/>
    <w:rsid w:val="001D1E99"/>
    <w:rsid w:val="001D3D5B"/>
    <w:rsid w:val="001D591E"/>
    <w:rsid w:val="001D66A1"/>
    <w:rsid w:val="001D7988"/>
    <w:rsid w:val="001E1085"/>
    <w:rsid w:val="001E1611"/>
    <w:rsid w:val="001E7F05"/>
    <w:rsid w:val="001F0550"/>
    <w:rsid w:val="001F3E6B"/>
    <w:rsid w:val="001F4F6A"/>
    <w:rsid w:val="001F5920"/>
    <w:rsid w:val="001F5B34"/>
    <w:rsid w:val="001F5C44"/>
    <w:rsid w:val="001F6EF6"/>
    <w:rsid w:val="00202FD8"/>
    <w:rsid w:val="00204146"/>
    <w:rsid w:val="00210E38"/>
    <w:rsid w:val="002112BF"/>
    <w:rsid w:val="00214D0D"/>
    <w:rsid w:val="00216C4A"/>
    <w:rsid w:val="00217652"/>
    <w:rsid w:val="00222D2F"/>
    <w:rsid w:val="00223526"/>
    <w:rsid w:val="00234533"/>
    <w:rsid w:val="00237582"/>
    <w:rsid w:val="00237806"/>
    <w:rsid w:val="00237E94"/>
    <w:rsid w:val="00243C3E"/>
    <w:rsid w:val="00245EF0"/>
    <w:rsid w:val="002461B6"/>
    <w:rsid w:val="00246990"/>
    <w:rsid w:val="002478DB"/>
    <w:rsid w:val="00253C09"/>
    <w:rsid w:val="00253DE2"/>
    <w:rsid w:val="00255A0E"/>
    <w:rsid w:val="002625AA"/>
    <w:rsid w:val="00262F80"/>
    <w:rsid w:val="002673ED"/>
    <w:rsid w:val="0027272D"/>
    <w:rsid w:val="00274192"/>
    <w:rsid w:val="002749A6"/>
    <w:rsid w:val="00275605"/>
    <w:rsid w:val="0028220D"/>
    <w:rsid w:val="00285BA5"/>
    <w:rsid w:val="0029048B"/>
    <w:rsid w:val="002914A2"/>
    <w:rsid w:val="002949C8"/>
    <w:rsid w:val="00294CA5"/>
    <w:rsid w:val="002A4B63"/>
    <w:rsid w:val="002B7617"/>
    <w:rsid w:val="002C04F2"/>
    <w:rsid w:val="002C2DDA"/>
    <w:rsid w:val="002C378C"/>
    <w:rsid w:val="002C402D"/>
    <w:rsid w:val="002D0B8E"/>
    <w:rsid w:val="002D2EF9"/>
    <w:rsid w:val="002D4DFB"/>
    <w:rsid w:val="002E59D3"/>
    <w:rsid w:val="002E5AC5"/>
    <w:rsid w:val="002E7276"/>
    <w:rsid w:val="002F000F"/>
    <w:rsid w:val="002F4AFB"/>
    <w:rsid w:val="002F57FD"/>
    <w:rsid w:val="002F7080"/>
    <w:rsid w:val="0030188C"/>
    <w:rsid w:val="00301D75"/>
    <w:rsid w:val="0030508B"/>
    <w:rsid w:val="00314397"/>
    <w:rsid w:val="00314A63"/>
    <w:rsid w:val="00314FE0"/>
    <w:rsid w:val="00315050"/>
    <w:rsid w:val="0031540D"/>
    <w:rsid w:val="0032056A"/>
    <w:rsid w:val="003207FD"/>
    <w:rsid w:val="00322D7F"/>
    <w:rsid w:val="00324E86"/>
    <w:rsid w:val="00325DD8"/>
    <w:rsid w:val="003305AA"/>
    <w:rsid w:val="00332F2F"/>
    <w:rsid w:val="00333094"/>
    <w:rsid w:val="003335FC"/>
    <w:rsid w:val="00334103"/>
    <w:rsid w:val="00342BF7"/>
    <w:rsid w:val="003436FD"/>
    <w:rsid w:val="00344A9D"/>
    <w:rsid w:val="00345878"/>
    <w:rsid w:val="00347502"/>
    <w:rsid w:val="00361F05"/>
    <w:rsid w:val="00362231"/>
    <w:rsid w:val="00362434"/>
    <w:rsid w:val="003660A9"/>
    <w:rsid w:val="00367901"/>
    <w:rsid w:val="0037197B"/>
    <w:rsid w:val="00373622"/>
    <w:rsid w:val="00375247"/>
    <w:rsid w:val="00376E54"/>
    <w:rsid w:val="0038273B"/>
    <w:rsid w:val="00385664"/>
    <w:rsid w:val="003929FA"/>
    <w:rsid w:val="00393E76"/>
    <w:rsid w:val="00394675"/>
    <w:rsid w:val="003949B7"/>
    <w:rsid w:val="00394EAE"/>
    <w:rsid w:val="003951AE"/>
    <w:rsid w:val="003967F7"/>
    <w:rsid w:val="003A00EC"/>
    <w:rsid w:val="003A0F58"/>
    <w:rsid w:val="003A2437"/>
    <w:rsid w:val="003A46E4"/>
    <w:rsid w:val="003A71FC"/>
    <w:rsid w:val="003A75F1"/>
    <w:rsid w:val="003B21E4"/>
    <w:rsid w:val="003B3025"/>
    <w:rsid w:val="003B40A9"/>
    <w:rsid w:val="003B4411"/>
    <w:rsid w:val="003C0849"/>
    <w:rsid w:val="003C0D26"/>
    <w:rsid w:val="003C17A8"/>
    <w:rsid w:val="003C3CC5"/>
    <w:rsid w:val="003C6601"/>
    <w:rsid w:val="003C7E38"/>
    <w:rsid w:val="003D4393"/>
    <w:rsid w:val="003D5112"/>
    <w:rsid w:val="003E084C"/>
    <w:rsid w:val="003E510D"/>
    <w:rsid w:val="003E57AB"/>
    <w:rsid w:val="003E6DB7"/>
    <w:rsid w:val="003F2D01"/>
    <w:rsid w:val="003F4DFE"/>
    <w:rsid w:val="003F6793"/>
    <w:rsid w:val="003F7BAC"/>
    <w:rsid w:val="00401905"/>
    <w:rsid w:val="00402DC9"/>
    <w:rsid w:val="00405D84"/>
    <w:rsid w:val="00406A06"/>
    <w:rsid w:val="00406A93"/>
    <w:rsid w:val="00410A3D"/>
    <w:rsid w:val="004117A8"/>
    <w:rsid w:val="0041436C"/>
    <w:rsid w:val="004147CF"/>
    <w:rsid w:val="00415FDA"/>
    <w:rsid w:val="00416747"/>
    <w:rsid w:val="00420047"/>
    <w:rsid w:val="00423465"/>
    <w:rsid w:val="0043067F"/>
    <w:rsid w:val="00431318"/>
    <w:rsid w:val="004336FC"/>
    <w:rsid w:val="00434C86"/>
    <w:rsid w:val="00436408"/>
    <w:rsid w:val="00441024"/>
    <w:rsid w:val="00441B00"/>
    <w:rsid w:val="0044257A"/>
    <w:rsid w:val="00445FD1"/>
    <w:rsid w:val="0045025D"/>
    <w:rsid w:val="004509B9"/>
    <w:rsid w:val="00457446"/>
    <w:rsid w:val="004575E2"/>
    <w:rsid w:val="00460601"/>
    <w:rsid w:val="0046083F"/>
    <w:rsid w:val="0046517F"/>
    <w:rsid w:val="00465A8F"/>
    <w:rsid w:val="004662AB"/>
    <w:rsid w:val="004672B9"/>
    <w:rsid w:val="00467628"/>
    <w:rsid w:val="004678A7"/>
    <w:rsid w:val="004712D0"/>
    <w:rsid w:val="00473462"/>
    <w:rsid w:val="00473A12"/>
    <w:rsid w:val="00474B05"/>
    <w:rsid w:val="00477B84"/>
    <w:rsid w:val="00482E37"/>
    <w:rsid w:val="00490D15"/>
    <w:rsid w:val="004917D2"/>
    <w:rsid w:val="0049568F"/>
    <w:rsid w:val="00496C50"/>
    <w:rsid w:val="00497FA3"/>
    <w:rsid w:val="004A0C3B"/>
    <w:rsid w:val="004A1E60"/>
    <w:rsid w:val="004B0945"/>
    <w:rsid w:val="004B1942"/>
    <w:rsid w:val="004B46E5"/>
    <w:rsid w:val="004B622B"/>
    <w:rsid w:val="004C14C4"/>
    <w:rsid w:val="004C2B32"/>
    <w:rsid w:val="004D17CD"/>
    <w:rsid w:val="004D65DA"/>
    <w:rsid w:val="004E14A9"/>
    <w:rsid w:val="004E1F07"/>
    <w:rsid w:val="004E2DB4"/>
    <w:rsid w:val="004E337E"/>
    <w:rsid w:val="004E504A"/>
    <w:rsid w:val="004E70BD"/>
    <w:rsid w:val="004F0B92"/>
    <w:rsid w:val="004F5F5F"/>
    <w:rsid w:val="004F719B"/>
    <w:rsid w:val="005013DC"/>
    <w:rsid w:val="005038A3"/>
    <w:rsid w:val="00511530"/>
    <w:rsid w:val="00512306"/>
    <w:rsid w:val="00512972"/>
    <w:rsid w:val="00517AC1"/>
    <w:rsid w:val="005205FB"/>
    <w:rsid w:val="005207D3"/>
    <w:rsid w:val="00521106"/>
    <w:rsid w:val="00521E39"/>
    <w:rsid w:val="00521EC8"/>
    <w:rsid w:val="00522A9F"/>
    <w:rsid w:val="0052543F"/>
    <w:rsid w:val="00532AC9"/>
    <w:rsid w:val="00537186"/>
    <w:rsid w:val="00544DD9"/>
    <w:rsid w:val="00550707"/>
    <w:rsid w:val="00551CB8"/>
    <w:rsid w:val="00566AD1"/>
    <w:rsid w:val="00566F14"/>
    <w:rsid w:val="00570628"/>
    <w:rsid w:val="00571792"/>
    <w:rsid w:val="005740AA"/>
    <w:rsid w:val="00574116"/>
    <w:rsid w:val="005745AA"/>
    <w:rsid w:val="0057727E"/>
    <w:rsid w:val="00582462"/>
    <w:rsid w:val="005828AA"/>
    <w:rsid w:val="00582B01"/>
    <w:rsid w:val="00583198"/>
    <w:rsid w:val="005877FB"/>
    <w:rsid w:val="00593816"/>
    <w:rsid w:val="00593CC3"/>
    <w:rsid w:val="00595338"/>
    <w:rsid w:val="005958DC"/>
    <w:rsid w:val="005A386E"/>
    <w:rsid w:val="005A3AC1"/>
    <w:rsid w:val="005B2E59"/>
    <w:rsid w:val="005B3187"/>
    <w:rsid w:val="005B4E24"/>
    <w:rsid w:val="005C243D"/>
    <w:rsid w:val="005C3639"/>
    <w:rsid w:val="005D3CBD"/>
    <w:rsid w:val="005D6A03"/>
    <w:rsid w:val="005D6E1B"/>
    <w:rsid w:val="005E2B07"/>
    <w:rsid w:val="005E32AC"/>
    <w:rsid w:val="005E6240"/>
    <w:rsid w:val="005F1B4B"/>
    <w:rsid w:val="005F4A4B"/>
    <w:rsid w:val="005F6304"/>
    <w:rsid w:val="005F72E6"/>
    <w:rsid w:val="006001A3"/>
    <w:rsid w:val="00601E69"/>
    <w:rsid w:val="0061317C"/>
    <w:rsid w:val="0061378A"/>
    <w:rsid w:val="006153BF"/>
    <w:rsid w:val="00617DCC"/>
    <w:rsid w:val="00620E12"/>
    <w:rsid w:val="00625C6E"/>
    <w:rsid w:val="006264F0"/>
    <w:rsid w:val="006269A7"/>
    <w:rsid w:val="00631686"/>
    <w:rsid w:val="0063278F"/>
    <w:rsid w:val="00635E8E"/>
    <w:rsid w:val="00636F2D"/>
    <w:rsid w:val="00641E10"/>
    <w:rsid w:val="00643503"/>
    <w:rsid w:val="00644536"/>
    <w:rsid w:val="0065104A"/>
    <w:rsid w:val="00651ECD"/>
    <w:rsid w:val="00655B7C"/>
    <w:rsid w:val="00655FA5"/>
    <w:rsid w:val="00656393"/>
    <w:rsid w:val="0066093C"/>
    <w:rsid w:val="00663607"/>
    <w:rsid w:val="006667E0"/>
    <w:rsid w:val="006675DE"/>
    <w:rsid w:val="0067087D"/>
    <w:rsid w:val="006751B4"/>
    <w:rsid w:val="00675D2C"/>
    <w:rsid w:val="0067644E"/>
    <w:rsid w:val="00682E29"/>
    <w:rsid w:val="006836FF"/>
    <w:rsid w:val="006845FE"/>
    <w:rsid w:val="006859E5"/>
    <w:rsid w:val="00686559"/>
    <w:rsid w:val="00690694"/>
    <w:rsid w:val="006907C2"/>
    <w:rsid w:val="00693521"/>
    <w:rsid w:val="006A6260"/>
    <w:rsid w:val="006A7624"/>
    <w:rsid w:val="006B2FC2"/>
    <w:rsid w:val="006B44DC"/>
    <w:rsid w:val="006B5AD7"/>
    <w:rsid w:val="006B7749"/>
    <w:rsid w:val="006B7B76"/>
    <w:rsid w:val="006C1017"/>
    <w:rsid w:val="006C67CE"/>
    <w:rsid w:val="006D4611"/>
    <w:rsid w:val="006D6797"/>
    <w:rsid w:val="006E0779"/>
    <w:rsid w:val="006E388E"/>
    <w:rsid w:val="006E5972"/>
    <w:rsid w:val="006E71C6"/>
    <w:rsid w:val="006E7DCF"/>
    <w:rsid w:val="006F6625"/>
    <w:rsid w:val="006F7434"/>
    <w:rsid w:val="00701067"/>
    <w:rsid w:val="0070206C"/>
    <w:rsid w:val="00710B33"/>
    <w:rsid w:val="00711BF2"/>
    <w:rsid w:val="007205C5"/>
    <w:rsid w:val="007230D3"/>
    <w:rsid w:val="00724266"/>
    <w:rsid w:val="007274D8"/>
    <w:rsid w:val="0073519A"/>
    <w:rsid w:val="00735E49"/>
    <w:rsid w:val="00740606"/>
    <w:rsid w:val="007418B8"/>
    <w:rsid w:val="0074230F"/>
    <w:rsid w:val="00743C8D"/>
    <w:rsid w:val="00745D8F"/>
    <w:rsid w:val="00750B56"/>
    <w:rsid w:val="0075247C"/>
    <w:rsid w:val="00754609"/>
    <w:rsid w:val="00755D75"/>
    <w:rsid w:val="00757F80"/>
    <w:rsid w:val="00760CF6"/>
    <w:rsid w:val="00763FFE"/>
    <w:rsid w:val="00770647"/>
    <w:rsid w:val="0077222E"/>
    <w:rsid w:val="0077695D"/>
    <w:rsid w:val="0077756C"/>
    <w:rsid w:val="00777C8B"/>
    <w:rsid w:val="00781947"/>
    <w:rsid w:val="00781E90"/>
    <w:rsid w:val="0078417F"/>
    <w:rsid w:val="00785DC5"/>
    <w:rsid w:val="00790A6C"/>
    <w:rsid w:val="007929B2"/>
    <w:rsid w:val="0079328B"/>
    <w:rsid w:val="00794A9C"/>
    <w:rsid w:val="00795528"/>
    <w:rsid w:val="00796406"/>
    <w:rsid w:val="007A0428"/>
    <w:rsid w:val="007A6F53"/>
    <w:rsid w:val="007B261E"/>
    <w:rsid w:val="007B39D4"/>
    <w:rsid w:val="007B49CD"/>
    <w:rsid w:val="007C0D23"/>
    <w:rsid w:val="007C239E"/>
    <w:rsid w:val="007C4EDE"/>
    <w:rsid w:val="007D0245"/>
    <w:rsid w:val="007D38FB"/>
    <w:rsid w:val="007D7922"/>
    <w:rsid w:val="007E09B2"/>
    <w:rsid w:val="007E0BA3"/>
    <w:rsid w:val="007E59E2"/>
    <w:rsid w:val="007E6019"/>
    <w:rsid w:val="007F034F"/>
    <w:rsid w:val="007F16A9"/>
    <w:rsid w:val="007F42B3"/>
    <w:rsid w:val="008003A0"/>
    <w:rsid w:val="00801521"/>
    <w:rsid w:val="00805862"/>
    <w:rsid w:val="00807F67"/>
    <w:rsid w:val="00816F8C"/>
    <w:rsid w:val="00817EC8"/>
    <w:rsid w:val="008263B4"/>
    <w:rsid w:val="00832EBF"/>
    <w:rsid w:val="0083328C"/>
    <w:rsid w:val="00836206"/>
    <w:rsid w:val="0083774F"/>
    <w:rsid w:val="00837AF1"/>
    <w:rsid w:val="0084085A"/>
    <w:rsid w:val="0084092C"/>
    <w:rsid w:val="00845607"/>
    <w:rsid w:val="00845677"/>
    <w:rsid w:val="00847C8E"/>
    <w:rsid w:val="00852AE5"/>
    <w:rsid w:val="008549AB"/>
    <w:rsid w:val="00855183"/>
    <w:rsid w:val="00857E12"/>
    <w:rsid w:val="00857EEE"/>
    <w:rsid w:val="00860C2E"/>
    <w:rsid w:val="0087337D"/>
    <w:rsid w:val="00874660"/>
    <w:rsid w:val="008762A8"/>
    <w:rsid w:val="008771D6"/>
    <w:rsid w:val="0088301D"/>
    <w:rsid w:val="00883515"/>
    <w:rsid w:val="008901AF"/>
    <w:rsid w:val="00891E83"/>
    <w:rsid w:val="00893D18"/>
    <w:rsid w:val="00896CB2"/>
    <w:rsid w:val="008A10CE"/>
    <w:rsid w:val="008A1862"/>
    <w:rsid w:val="008A1BD1"/>
    <w:rsid w:val="008A703E"/>
    <w:rsid w:val="008B0E12"/>
    <w:rsid w:val="008B7F2A"/>
    <w:rsid w:val="008C085B"/>
    <w:rsid w:val="008C20EF"/>
    <w:rsid w:val="008C4420"/>
    <w:rsid w:val="008C70D3"/>
    <w:rsid w:val="008D09D3"/>
    <w:rsid w:val="008D0BCA"/>
    <w:rsid w:val="008D0D86"/>
    <w:rsid w:val="008D14EE"/>
    <w:rsid w:val="008D76D9"/>
    <w:rsid w:val="008E2A62"/>
    <w:rsid w:val="008E46C5"/>
    <w:rsid w:val="008F035D"/>
    <w:rsid w:val="008F59D2"/>
    <w:rsid w:val="0090373D"/>
    <w:rsid w:val="00910212"/>
    <w:rsid w:val="009124C7"/>
    <w:rsid w:val="009127C8"/>
    <w:rsid w:val="00915B2E"/>
    <w:rsid w:val="00916C16"/>
    <w:rsid w:val="009173D6"/>
    <w:rsid w:val="00925422"/>
    <w:rsid w:val="0092654C"/>
    <w:rsid w:val="00930AB0"/>
    <w:rsid w:val="009314A1"/>
    <w:rsid w:val="009317B2"/>
    <w:rsid w:val="00931E6C"/>
    <w:rsid w:val="00934C0F"/>
    <w:rsid w:val="009360DF"/>
    <w:rsid w:val="00940BF1"/>
    <w:rsid w:val="00941AFE"/>
    <w:rsid w:val="00941CB7"/>
    <w:rsid w:val="0094307D"/>
    <w:rsid w:val="009550E5"/>
    <w:rsid w:val="00955A0A"/>
    <w:rsid w:val="00955B20"/>
    <w:rsid w:val="00956668"/>
    <w:rsid w:val="00960685"/>
    <w:rsid w:val="009626A9"/>
    <w:rsid w:val="009631CB"/>
    <w:rsid w:val="00963C69"/>
    <w:rsid w:val="00964B82"/>
    <w:rsid w:val="0096701B"/>
    <w:rsid w:val="00970869"/>
    <w:rsid w:val="00971C71"/>
    <w:rsid w:val="00981FE0"/>
    <w:rsid w:val="0098321F"/>
    <w:rsid w:val="00984357"/>
    <w:rsid w:val="00984D4C"/>
    <w:rsid w:val="00986DC3"/>
    <w:rsid w:val="00987083"/>
    <w:rsid w:val="00987491"/>
    <w:rsid w:val="009952C4"/>
    <w:rsid w:val="009A0C82"/>
    <w:rsid w:val="009A1192"/>
    <w:rsid w:val="009A2BBC"/>
    <w:rsid w:val="009A46C0"/>
    <w:rsid w:val="009A58F9"/>
    <w:rsid w:val="009B159B"/>
    <w:rsid w:val="009C5B66"/>
    <w:rsid w:val="009C5F1C"/>
    <w:rsid w:val="009C6ED4"/>
    <w:rsid w:val="009C7326"/>
    <w:rsid w:val="009C79FD"/>
    <w:rsid w:val="009D1BAD"/>
    <w:rsid w:val="009D4067"/>
    <w:rsid w:val="009D40C4"/>
    <w:rsid w:val="009D4B1F"/>
    <w:rsid w:val="009D6D11"/>
    <w:rsid w:val="009E1754"/>
    <w:rsid w:val="009E2397"/>
    <w:rsid w:val="009F07FA"/>
    <w:rsid w:val="009F0863"/>
    <w:rsid w:val="009F1F13"/>
    <w:rsid w:val="009F6DEF"/>
    <w:rsid w:val="00A01300"/>
    <w:rsid w:val="00A06027"/>
    <w:rsid w:val="00A1066B"/>
    <w:rsid w:val="00A14167"/>
    <w:rsid w:val="00A15ACF"/>
    <w:rsid w:val="00A16E84"/>
    <w:rsid w:val="00A20F99"/>
    <w:rsid w:val="00A22F65"/>
    <w:rsid w:val="00A241F6"/>
    <w:rsid w:val="00A26865"/>
    <w:rsid w:val="00A33534"/>
    <w:rsid w:val="00A33B17"/>
    <w:rsid w:val="00A34A8E"/>
    <w:rsid w:val="00A3523F"/>
    <w:rsid w:val="00A35F87"/>
    <w:rsid w:val="00A411D2"/>
    <w:rsid w:val="00A42469"/>
    <w:rsid w:val="00A4481C"/>
    <w:rsid w:val="00A46E02"/>
    <w:rsid w:val="00A47714"/>
    <w:rsid w:val="00A5149A"/>
    <w:rsid w:val="00A55A78"/>
    <w:rsid w:val="00A6269D"/>
    <w:rsid w:val="00A628AA"/>
    <w:rsid w:val="00A633DD"/>
    <w:rsid w:val="00A669EE"/>
    <w:rsid w:val="00A6784D"/>
    <w:rsid w:val="00A67B96"/>
    <w:rsid w:val="00A71393"/>
    <w:rsid w:val="00A72B13"/>
    <w:rsid w:val="00A73CBE"/>
    <w:rsid w:val="00A753E5"/>
    <w:rsid w:val="00A76D44"/>
    <w:rsid w:val="00A77523"/>
    <w:rsid w:val="00A83BAD"/>
    <w:rsid w:val="00A844A7"/>
    <w:rsid w:val="00A855B2"/>
    <w:rsid w:val="00A87ECE"/>
    <w:rsid w:val="00A91D28"/>
    <w:rsid w:val="00A93555"/>
    <w:rsid w:val="00A971F9"/>
    <w:rsid w:val="00A97712"/>
    <w:rsid w:val="00AA0152"/>
    <w:rsid w:val="00AA15DF"/>
    <w:rsid w:val="00AA1F1A"/>
    <w:rsid w:val="00AA272B"/>
    <w:rsid w:val="00AA2777"/>
    <w:rsid w:val="00AA78FD"/>
    <w:rsid w:val="00AC3D1C"/>
    <w:rsid w:val="00AD18D3"/>
    <w:rsid w:val="00AD2D2C"/>
    <w:rsid w:val="00AD6353"/>
    <w:rsid w:val="00AD692F"/>
    <w:rsid w:val="00AE1466"/>
    <w:rsid w:val="00AE245E"/>
    <w:rsid w:val="00AF0029"/>
    <w:rsid w:val="00AF0D21"/>
    <w:rsid w:val="00AF0E81"/>
    <w:rsid w:val="00AF1094"/>
    <w:rsid w:val="00AF2C00"/>
    <w:rsid w:val="00AF2FD3"/>
    <w:rsid w:val="00AF3684"/>
    <w:rsid w:val="00AF4FC8"/>
    <w:rsid w:val="00AF6823"/>
    <w:rsid w:val="00B01AD2"/>
    <w:rsid w:val="00B01D17"/>
    <w:rsid w:val="00B033B2"/>
    <w:rsid w:val="00B04C75"/>
    <w:rsid w:val="00B0601A"/>
    <w:rsid w:val="00B067DC"/>
    <w:rsid w:val="00B11E94"/>
    <w:rsid w:val="00B16FF7"/>
    <w:rsid w:val="00B224BA"/>
    <w:rsid w:val="00B24F5A"/>
    <w:rsid w:val="00B26541"/>
    <w:rsid w:val="00B27993"/>
    <w:rsid w:val="00B359A6"/>
    <w:rsid w:val="00B41C29"/>
    <w:rsid w:val="00B4586E"/>
    <w:rsid w:val="00B46BCC"/>
    <w:rsid w:val="00B50C07"/>
    <w:rsid w:val="00B541F7"/>
    <w:rsid w:val="00B564CC"/>
    <w:rsid w:val="00B57B6C"/>
    <w:rsid w:val="00B57BB6"/>
    <w:rsid w:val="00B57C9F"/>
    <w:rsid w:val="00B605C3"/>
    <w:rsid w:val="00B61972"/>
    <w:rsid w:val="00B619C6"/>
    <w:rsid w:val="00B640CD"/>
    <w:rsid w:val="00B66D82"/>
    <w:rsid w:val="00B71659"/>
    <w:rsid w:val="00B7797F"/>
    <w:rsid w:val="00B826C4"/>
    <w:rsid w:val="00B87F7B"/>
    <w:rsid w:val="00B902AA"/>
    <w:rsid w:val="00B91760"/>
    <w:rsid w:val="00B92EFD"/>
    <w:rsid w:val="00B93548"/>
    <w:rsid w:val="00B944F0"/>
    <w:rsid w:val="00B97C73"/>
    <w:rsid w:val="00BA09D9"/>
    <w:rsid w:val="00BA2F66"/>
    <w:rsid w:val="00BA34B2"/>
    <w:rsid w:val="00BA4A9E"/>
    <w:rsid w:val="00BA7D5D"/>
    <w:rsid w:val="00BB1155"/>
    <w:rsid w:val="00BB628B"/>
    <w:rsid w:val="00BC17F8"/>
    <w:rsid w:val="00BC3067"/>
    <w:rsid w:val="00BC6891"/>
    <w:rsid w:val="00BC75E6"/>
    <w:rsid w:val="00BD03F7"/>
    <w:rsid w:val="00BD1686"/>
    <w:rsid w:val="00BD1A17"/>
    <w:rsid w:val="00BD336A"/>
    <w:rsid w:val="00BD43CB"/>
    <w:rsid w:val="00BD59B1"/>
    <w:rsid w:val="00BD6F41"/>
    <w:rsid w:val="00BE14B8"/>
    <w:rsid w:val="00BE3B32"/>
    <w:rsid w:val="00BE4E85"/>
    <w:rsid w:val="00BE6686"/>
    <w:rsid w:val="00BF0CF1"/>
    <w:rsid w:val="00BF5323"/>
    <w:rsid w:val="00C00535"/>
    <w:rsid w:val="00C01235"/>
    <w:rsid w:val="00C10B1A"/>
    <w:rsid w:val="00C14ABC"/>
    <w:rsid w:val="00C15D1A"/>
    <w:rsid w:val="00C160B9"/>
    <w:rsid w:val="00C161F9"/>
    <w:rsid w:val="00C22265"/>
    <w:rsid w:val="00C2465C"/>
    <w:rsid w:val="00C24AFF"/>
    <w:rsid w:val="00C26147"/>
    <w:rsid w:val="00C3018E"/>
    <w:rsid w:val="00C312AD"/>
    <w:rsid w:val="00C31DEB"/>
    <w:rsid w:val="00C3270B"/>
    <w:rsid w:val="00C36ED3"/>
    <w:rsid w:val="00C37B2F"/>
    <w:rsid w:val="00C413D0"/>
    <w:rsid w:val="00C42282"/>
    <w:rsid w:val="00C43765"/>
    <w:rsid w:val="00C44715"/>
    <w:rsid w:val="00C451A9"/>
    <w:rsid w:val="00C459CC"/>
    <w:rsid w:val="00C472C1"/>
    <w:rsid w:val="00C47D9C"/>
    <w:rsid w:val="00C5677C"/>
    <w:rsid w:val="00C57A48"/>
    <w:rsid w:val="00C62F61"/>
    <w:rsid w:val="00C6358B"/>
    <w:rsid w:val="00C726AC"/>
    <w:rsid w:val="00C73890"/>
    <w:rsid w:val="00C73C83"/>
    <w:rsid w:val="00C77BAA"/>
    <w:rsid w:val="00C808E1"/>
    <w:rsid w:val="00C80F92"/>
    <w:rsid w:val="00C81EAA"/>
    <w:rsid w:val="00C842F7"/>
    <w:rsid w:val="00C84632"/>
    <w:rsid w:val="00C853C7"/>
    <w:rsid w:val="00C857A9"/>
    <w:rsid w:val="00C8694F"/>
    <w:rsid w:val="00C9115D"/>
    <w:rsid w:val="00CA0C59"/>
    <w:rsid w:val="00CA13D4"/>
    <w:rsid w:val="00CA5891"/>
    <w:rsid w:val="00CA643A"/>
    <w:rsid w:val="00CB2C13"/>
    <w:rsid w:val="00CB2EFF"/>
    <w:rsid w:val="00CB5138"/>
    <w:rsid w:val="00CB742A"/>
    <w:rsid w:val="00CD0DBA"/>
    <w:rsid w:val="00CE080D"/>
    <w:rsid w:val="00CE3393"/>
    <w:rsid w:val="00CF0D1A"/>
    <w:rsid w:val="00CF1937"/>
    <w:rsid w:val="00CF2646"/>
    <w:rsid w:val="00D00856"/>
    <w:rsid w:val="00D07AFE"/>
    <w:rsid w:val="00D12FFF"/>
    <w:rsid w:val="00D13523"/>
    <w:rsid w:val="00D150C3"/>
    <w:rsid w:val="00D21BB5"/>
    <w:rsid w:val="00D2398E"/>
    <w:rsid w:val="00D24B51"/>
    <w:rsid w:val="00D24B55"/>
    <w:rsid w:val="00D262BD"/>
    <w:rsid w:val="00D269A1"/>
    <w:rsid w:val="00D27D2B"/>
    <w:rsid w:val="00D32511"/>
    <w:rsid w:val="00D32CF0"/>
    <w:rsid w:val="00D34A05"/>
    <w:rsid w:val="00D34D6B"/>
    <w:rsid w:val="00D405D0"/>
    <w:rsid w:val="00D431C2"/>
    <w:rsid w:val="00D439EF"/>
    <w:rsid w:val="00D4407A"/>
    <w:rsid w:val="00D44BB9"/>
    <w:rsid w:val="00D46713"/>
    <w:rsid w:val="00D522CE"/>
    <w:rsid w:val="00D52F95"/>
    <w:rsid w:val="00D57606"/>
    <w:rsid w:val="00D608D5"/>
    <w:rsid w:val="00D60AB8"/>
    <w:rsid w:val="00D618A4"/>
    <w:rsid w:val="00D6607C"/>
    <w:rsid w:val="00D72846"/>
    <w:rsid w:val="00D77279"/>
    <w:rsid w:val="00D77B33"/>
    <w:rsid w:val="00D813C1"/>
    <w:rsid w:val="00D84041"/>
    <w:rsid w:val="00D84358"/>
    <w:rsid w:val="00D84473"/>
    <w:rsid w:val="00DA1F23"/>
    <w:rsid w:val="00DA6205"/>
    <w:rsid w:val="00DA6F6E"/>
    <w:rsid w:val="00DA7D81"/>
    <w:rsid w:val="00DB0300"/>
    <w:rsid w:val="00DB2A26"/>
    <w:rsid w:val="00DB715C"/>
    <w:rsid w:val="00DC0261"/>
    <w:rsid w:val="00DC134D"/>
    <w:rsid w:val="00DC2C0B"/>
    <w:rsid w:val="00DC417C"/>
    <w:rsid w:val="00DC4AB9"/>
    <w:rsid w:val="00DC5BB3"/>
    <w:rsid w:val="00DC612A"/>
    <w:rsid w:val="00DC7DCB"/>
    <w:rsid w:val="00DD22D7"/>
    <w:rsid w:val="00DD55D6"/>
    <w:rsid w:val="00DE1100"/>
    <w:rsid w:val="00DE3B44"/>
    <w:rsid w:val="00DE5F66"/>
    <w:rsid w:val="00DF1537"/>
    <w:rsid w:val="00DF2564"/>
    <w:rsid w:val="00DF5543"/>
    <w:rsid w:val="00E00274"/>
    <w:rsid w:val="00E018EB"/>
    <w:rsid w:val="00E0559E"/>
    <w:rsid w:val="00E11E97"/>
    <w:rsid w:val="00E27AB5"/>
    <w:rsid w:val="00E320AD"/>
    <w:rsid w:val="00E33CF5"/>
    <w:rsid w:val="00E33D22"/>
    <w:rsid w:val="00E34D62"/>
    <w:rsid w:val="00E35E0B"/>
    <w:rsid w:val="00E37575"/>
    <w:rsid w:val="00E45DB4"/>
    <w:rsid w:val="00E47085"/>
    <w:rsid w:val="00E51A21"/>
    <w:rsid w:val="00E555B7"/>
    <w:rsid w:val="00E55BD5"/>
    <w:rsid w:val="00E56269"/>
    <w:rsid w:val="00E57A6F"/>
    <w:rsid w:val="00E64454"/>
    <w:rsid w:val="00E70898"/>
    <w:rsid w:val="00E753AB"/>
    <w:rsid w:val="00E7730B"/>
    <w:rsid w:val="00E806CF"/>
    <w:rsid w:val="00E83C5F"/>
    <w:rsid w:val="00E842CD"/>
    <w:rsid w:val="00E921B9"/>
    <w:rsid w:val="00E944B0"/>
    <w:rsid w:val="00E9459D"/>
    <w:rsid w:val="00E9570C"/>
    <w:rsid w:val="00EA2114"/>
    <w:rsid w:val="00EA4A93"/>
    <w:rsid w:val="00EA4AA6"/>
    <w:rsid w:val="00EA4E51"/>
    <w:rsid w:val="00EA662D"/>
    <w:rsid w:val="00EA6D66"/>
    <w:rsid w:val="00EB1DFB"/>
    <w:rsid w:val="00EB5216"/>
    <w:rsid w:val="00EB677C"/>
    <w:rsid w:val="00EC323F"/>
    <w:rsid w:val="00EC4CDB"/>
    <w:rsid w:val="00EC60C8"/>
    <w:rsid w:val="00EC7B3F"/>
    <w:rsid w:val="00ED0065"/>
    <w:rsid w:val="00ED0DFE"/>
    <w:rsid w:val="00ED68B5"/>
    <w:rsid w:val="00ED728A"/>
    <w:rsid w:val="00ED72D6"/>
    <w:rsid w:val="00EE0067"/>
    <w:rsid w:val="00EE0BFD"/>
    <w:rsid w:val="00EE0D86"/>
    <w:rsid w:val="00EE361F"/>
    <w:rsid w:val="00EE77D9"/>
    <w:rsid w:val="00EF115C"/>
    <w:rsid w:val="00EF36B1"/>
    <w:rsid w:val="00EF4B9B"/>
    <w:rsid w:val="00EF6DDE"/>
    <w:rsid w:val="00EF7560"/>
    <w:rsid w:val="00F0103B"/>
    <w:rsid w:val="00F033F3"/>
    <w:rsid w:val="00F0429F"/>
    <w:rsid w:val="00F0770B"/>
    <w:rsid w:val="00F1229F"/>
    <w:rsid w:val="00F1725A"/>
    <w:rsid w:val="00F2139D"/>
    <w:rsid w:val="00F272D4"/>
    <w:rsid w:val="00F306B8"/>
    <w:rsid w:val="00F31286"/>
    <w:rsid w:val="00F31A59"/>
    <w:rsid w:val="00F336FE"/>
    <w:rsid w:val="00F36711"/>
    <w:rsid w:val="00F4035E"/>
    <w:rsid w:val="00F42DF9"/>
    <w:rsid w:val="00F43008"/>
    <w:rsid w:val="00F44E3D"/>
    <w:rsid w:val="00F503ED"/>
    <w:rsid w:val="00F5148B"/>
    <w:rsid w:val="00F52B72"/>
    <w:rsid w:val="00F55A60"/>
    <w:rsid w:val="00F5697B"/>
    <w:rsid w:val="00F60068"/>
    <w:rsid w:val="00F6008A"/>
    <w:rsid w:val="00F62442"/>
    <w:rsid w:val="00F656B4"/>
    <w:rsid w:val="00F677DF"/>
    <w:rsid w:val="00F718A7"/>
    <w:rsid w:val="00F73509"/>
    <w:rsid w:val="00F74565"/>
    <w:rsid w:val="00F7720F"/>
    <w:rsid w:val="00F81A83"/>
    <w:rsid w:val="00F81F0C"/>
    <w:rsid w:val="00F82CA7"/>
    <w:rsid w:val="00F83220"/>
    <w:rsid w:val="00F83693"/>
    <w:rsid w:val="00F8609E"/>
    <w:rsid w:val="00F86467"/>
    <w:rsid w:val="00F937B4"/>
    <w:rsid w:val="00F97F99"/>
    <w:rsid w:val="00FA1729"/>
    <w:rsid w:val="00FA19AA"/>
    <w:rsid w:val="00FA22FA"/>
    <w:rsid w:val="00FA4E65"/>
    <w:rsid w:val="00FA59EE"/>
    <w:rsid w:val="00FA7763"/>
    <w:rsid w:val="00FB0B47"/>
    <w:rsid w:val="00FB0DA9"/>
    <w:rsid w:val="00FB1094"/>
    <w:rsid w:val="00FB2241"/>
    <w:rsid w:val="00FC5A80"/>
    <w:rsid w:val="00FD2172"/>
    <w:rsid w:val="00FD5EB8"/>
    <w:rsid w:val="00FE48F7"/>
    <w:rsid w:val="00FE6968"/>
    <w:rsid w:val="00FE6A70"/>
    <w:rsid w:val="00FE79AB"/>
    <w:rsid w:val="00FE79D0"/>
    <w:rsid w:val="00FF4903"/>
    <w:rsid w:val="00FF6EAF"/>
    <w:rsid w:val="00FF72E8"/>
    <w:rsid w:val="0112244E"/>
    <w:rsid w:val="01187BDA"/>
    <w:rsid w:val="02B62AFF"/>
    <w:rsid w:val="033169AF"/>
    <w:rsid w:val="04404605"/>
    <w:rsid w:val="045B159D"/>
    <w:rsid w:val="04FC43EA"/>
    <w:rsid w:val="0550173E"/>
    <w:rsid w:val="062B1CFE"/>
    <w:rsid w:val="06F34474"/>
    <w:rsid w:val="06F66F8D"/>
    <w:rsid w:val="09503FD7"/>
    <w:rsid w:val="09F31606"/>
    <w:rsid w:val="0C065DE4"/>
    <w:rsid w:val="0CF93AD9"/>
    <w:rsid w:val="0DEC0AE2"/>
    <w:rsid w:val="0E642D2B"/>
    <w:rsid w:val="10247488"/>
    <w:rsid w:val="10717588"/>
    <w:rsid w:val="13EE2D42"/>
    <w:rsid w:val="14466A23"/>
    <w:rsid w:val="14894C14"/>
    <w:rsid w:val="149E7662"/>
    <w:rsid w:val="154B40E1"/>
    <w:rsid w:val="155E1C9F"/>
    <w:rsid w:val="1649511F"/>
    <w:rsid w:val="16766EE8"/>
    <w:rsid w:val="178D45D6"/>
    <w:rsid w:val="17AE3C6A"/>
    <w:rsid w:val="1A95593F"/>
    <w:rsid w:val="1A9A7055"/>
    <w:rsid w:val="1B317B2B"/>
    <w:rsid w:val="1C3B31E4"/>
    <w:rsid w:val="1CB27013"/>
    <w:rsid w:val="1D0609AB"/>
    <w:rsid w:val="1D7B41ED"/>
    <w:rsid w:val="1E761E86"/>
    <w:rsid w:val="1F454ADD"/>
    <w:rsid w:val="1FA60707"/>
    <w:rsid w:val="214445A3"/>
    <w:rsid w:val="23C50DBF"/>
    <w:rsid w:val="23EC3D11"/>
    <w:rsid w:val="24390C34"/>
    <w:rsid w:val="24D131D2"/>
    <w:rsid w:val="24E25D13"/>
    <w:rsid w:val="24F649B4"/>
    <w:rsid w:val="25167467"/>
    <w:rsid w:val="25970CBA"/>
    <w:rsid w:val="265213ED"/>
    <w:rsid w:val="26AE6283"/>
    <w:rsid w:val="272D447F"/>
    <w:rsid w:val="27DF1E78"/>
    <w:rsid w:val="28011574"/>
    <w:rsid w:val="28AB02C8"/>
    <w:rsid w:val="29894432"/>
    <w:rsid w:val="29C27A8F"/>
    <w:rsid w:val="2A3F4E5B"/>
    <w:rsid w:val="2B8F1305"/>
    <w:rsid w:val="2BD51671"/>
    <w:rsid w:val="2D0852EE"/>
    <w:rsid w:val="2DC33823"/>
    <w:rsid w:val="2E331558"/>
    <w:rsid w:val="2E495DE7"/>
    <w:rsid w:val="2E521E0D"/>
    <w:rsid w:val="2FDA5341"/>
    <w:rsid w:val="2FFB6945"/>
    <w:rsid w:val="308F4C3A"/>
    <w:rsid w:val="319544E8"/>
    <w:rsid w:val="32923106"/>
    <w:rsid w:val="32E86094"/>
    <w:rsid w:val="33212B7D"/>
    <w:rsid w:val="33712774"/>
    <w:rsid w:val="33B850E7"/>
    <w:rsid w:val="34D15BB4"/>
    <w:rsid w:val="37071057"/>
    <w:rsid w:val="37172663"/>
    <w:rsid w:val="372C689E"/>
    <w:rsid w:val="37387627"/>
    <w:rsid w:val="37F741E2"/>
    <w:rsid w:val="395A5383"/>
    <w:rsid w:val="39653E33"/>
    <w:rsid w:val="39A31C9F"/>
    <w:rsid w:val="39B44138"/>
    <w:rsid w:val="3AF6027A"/>
    <w:rsid w:val="3B2A71FC"/>
    <w:rsid w:val="3BAF2F92"/>
    <w:rsid w:val="3BC06012"/>
    <w:rsid w:val="3C92439E"/>
    <w:rsid w:val="3FDD25A9"/>
    <w:rsid w:val="41361594"/>
    <w:rsid w:val="41D81760"/>
    <w:rsid w:val="41E06CA1"/>
    <w:rsid w:val="432E43C4"/>
    <w:rsid w:val="439148A0"/>
    <w:rsid w:val="43C071B6"/>
    <w:rsid w:val="44AF71F4"/>
    <w:rsid w:val="44C6281D"/>
    <w:rsid w:val="44E35950"/>
    <w:rsid w:val="44FC113D"/>
    <w:rsid w:val="45F95CD0"/>
    <w:rsid w:val="47C615D0"/>
    <w:rsid w:val="47C84AD3"/>
    <w:rsid w:val="482622CD"/>
    <w:rsid w:val="48B6475B"/>
    <w:rsid w:val="48DB5895"/>
    <w:rsid w:val="49175A7A"/>
    <w:rsid w:val="49E515CA"/>
    <w:rsid w:val="4A1F222B"/>
    <w:rsid w:val="4AA1777F"/>
    <w:rsid w:val="4ABB1C1E"/>
    <w:rsid w:val="4AD66954"/>
    <w:rsid w:val="4B234855"/>
    <w:rsid w:val="4B4C600B"/>
    <w:rsid w:val="4B8D4CE9"/>
    <w:rsid w:val="4C4039A8"/>
    <w:rsid w:val="4C87411C"/>
    <w:rsid w:val="4CC67484"/>
    <w:rsid w:val="4CD3679A"/>
    <w:rsid w:val="4CF95355"/>
    <w:rsid w:val="4D714E0F"/>
    <w:rsid w:val="4E1835AE"/>
    <w:rsid w:val="4E3C24E9"/>
    <w:rsid w:val="4ECD1934"/>
    <w:rsid w:val="501F5F01"/>
    <w:rsid w:val="50AE359C"/>
    <w:rsid w:val="50FC206C"/>
    <w:rsid w:val="51627812"/>
    <w:rsid w:val="5266011F"/>
    <w:rsid w:val="54785055"/>
    <w:rsid w:val="551E6CEE"/>
    <w:rsid w:val="55695428"/>
    <w:rsid w:val="56BE7FDF"/>
    <w:rsid w:val="57050934"/>
    <w:rsid w:val="574633BB"/>
    <w:rsid w:val="58A5065D"/>
    <w:rsid w:val="59161F59"/>
    <w:rsid w:val="59346469"/>
    <w:rsid w:val="5A130056"/>
    <w:rsid w:val="5A6F296E"/>
    <w:rsid w:val="5BAD2F0A"/>
    <w:rsid w:val="5CD72F82"/>
    <w:rsid w:val="5DBA41D4"/>
    <w:rsid w:val="5E085636"/>
    <w:rsid w:val="5E0E058B"/>
    <w:rsid w:val="5EBA5A08"/>
    <w:rsid w:val="5EE30B66"/>
    <w:rsid w:val="5F6E1CDF"/>
    <w:rsid w:val="5F7D55BA"/>
    <w:rsid w:val="5F8913CC"/>
    <w:rsid w:val="612E16FD"/>
    <w:rsid w:val="62ED4C3D"/>
    <w:rsid w:val="642207D6"/>
    <w:rsid w:val="642F1A42"/>
    <w:rsid w:val="662463E4"/>
    <w:rsid w:val="66CD03B4"/>
    <w:rsid w:val="685C1DC4"/>
    <w:rsid w:val="68BC5EB7"/>
    <w:rsid w:val="690B44E7"/>
    <w:rsid w:val="691C697F"/>
    <w:rsid w:val="69843F1C"/>
    <w:rsid w:val="698D37BB"/>
    <w:rsid w:val="6ACF3DC7"/>
    <w:rsid w:val="6B8F6404"/>
    <w:rsid w:val="6C340216"/>
    <w:rsid w:val="6C776701"/>
    <w:rsid w:val="6D090340"/>
    <w:rsid w:val="6D370D3E"/>
    <w:rsid w:val="6DD369BE"/>
    <w:rsid w:val="6EDB13EF"/>
    <w:rsid w:val="6F451ABA"/>
    <w:rsid w:val="6FB645D5"/>
    <w:rsid w:val="6FC85C67"/>
    <w:rsid w:val="70BB05FF"/>
    <w:rsid w:val="70D77415"/>
    <w:rsid w:val="717645B6"/>
    <w:rsid w:val="732A0F7D"/>
    <w:rsid w:val="733A0869"/>
    <w:rsid w:val="73845B12"/>
    <w:rsid w:val="73CE67B0"/>
    <w:rsid w:val="742779EC"/>
    <w:rsid w:val="744203E7"/>
    <w:rsid w:val="74651405"/>
    <w:rsid w:val="748C604F"/>
    <w:rsid w:val="75CD54D4"/>
    <w:rsid w:val="783C6288"/>
    <w:rsid w:val="784E426F"/>
    <w:rsid w:val="79D60872"/>
    <w:rsid w:val="7A377612"/>
    <w:rsid w:val="7AC21775"/>
    <w:rsid w:val="7B245F96"/>
    <w:rsid w:val="7E7D6C22"/>
    <w:rsid w:val="7EE14738"/>
    <w:rsid w:val="7FA57CF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298" w:lineRule="auto"/>
      <w:jc w:val="both"/>
      <w:textAlignment w:val="baseline"/>
    </w:pPr>
    <w:rPr>
      <w:rFonts w:ascii="Times New Roman" w:hAnsi="Times New Roman" w:eastAsia="方正仿宋_GBK" w:cs="Times New Roman"/>
      <w:snapToGrid w:val="0"/>
      <w:kern w:val="32"/>
      <w:sz w:val="32"/>
      <w:lang w:val="en-US" w:eastAsia="zh-CN" w:bidi="ar-SA"/>
    </w:rPr>
  </w:style>
  <w:style w:type="paragraph" w:styleId="2">
    <w:name w:val="heading 2"/>
    <w:basedOn w:val="1"/>
    <w:next w:val="1"/>
    <w:unhideWhenUsed/>
    <w:qFormat/>
    <w:uiPriority w:val="9"/>
    <w:pPr>
      <w:keepNext/>
      <w:keepLines/>
      <w:spacing w:line="413" w:lineRule="auto"/>
      <w:outlineLvl w:val="1"/>
    </w:pPr>
    <w:rPr>
      <w:rFonts w:ascii="Arial" w:hAnsi="Arial" w:eastAsia="黑体"/>
      <w:b/>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1"/>
    <w:qFormat/>
    <w:uiPriority w:val="0"/>
    <w:pPr>
      <w:ind w:firstLine="200" w:firstLineChars="200"/>
    </w:pPr>
  </w:style>
  <w:style w:type="paragraph" w:styleId="4">
    <w:name w:val="footer"/>
    <w:basedOn w:val="1"/>
    <w:link w:val="10"/>
    <w:semiHidden/>
    <w:unhideWhenUsed/>
    <w:qFormat/>
    <w:uiPriority w:val="99"/>
    <w:pPr>
      <w:tabs>
        <w:tab w:val="center" w:pos="4153"/>
        <w:tab w:val="right" w:pos="8306"/>
      </w:tabs>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jc w:val="center"/>
    </w:pPr>
    <w:rPr>
      <w:sz w:val="18"/>
      <w:szCs w:val="18"/>
    </w:rPr>
  </w:style>
  <w:style w:type="character" w:styleId="8">
    <w:name w:val="page number"/>
    <w:qFormat/>
    <w:uiPriority w:val="0"/>
    <w:rPr>
      <w:rFonts w:eastAsia="Times New Roman"/>
      <w:sz w:val="28"/>
      <w:szCs w:val="28"/>
    </w:rPr>
  </w:style>
  <w:style w:type="character" w:customStyle="1" w:styleId="9">
    <w:name w:val="页眉 Char"/>
    <w:basedOn w:val="7"/>
    <w:link w:val="5"/>
    <w:semiHidden/>
    <w:qFormat/>
    <w:uiPriority w:val="99"/>
    <w:rPr>
      <w:sz w:val="18"/>
      <w:szCs w:val="18"/>
    </w:rPr>
  </w:style>
  <w:style w:type="character" w:customStyle="1" w:styleId="10">
    <w:name w:val="页脚 Char"/>
    <w:basedOn w:val="7"/>
    <w:link w:val="4"/>
    <w:semiHidden/>
    <w:qFormat/>
    <w:uiPriority w:val="99"/>
    <w:rPr>
      <w:sz w:val="18"/>
      <w:szCs w:val="18"/>
    </w:rPr>
  </w:style>
  <w:style w:type="character" w:customStyle="1" w:styleId="11">
    <w:name w:val="正文文本 Char"/>
    <w:basedOn w:val="7"/>
    <w:link w:val="3"/>
    <w:qFormat/>
    <w:uiPriority w:val="0"/>
    <w:rPr>
      <w:rFonts w:ascii="Times New Roman" w:hAnsi="Times New Roman" w:eastAsia="方正仿宋_GBK" w:cs="Times New Roman"/>
      <w:snapToGrid w:val="0"/>
      <w:kern w:val="32"/>
      <w:sz w:val="32"/>
      <w:szCs w:val="20"/>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Fifth Edition" SelectedStyle="\APA.XSL"/>
</file>

<file path=customXml/itemProps1.xml><?xml version="1.0" encoding="utf-8"?>
<ds:datastoreItem xmlns:ds="http://schemas.openxmlformats.org/officeDocument/2006/customXml" ds:itemID="{D0BE84FE-7129-4BD4-962C-BC3C7001328A}">
  <ds:schemaRefs/>
</ds:datastoreItem>
</file>

<file path=docProps/app.xml><?xml version="1.0" encoding="utf-8"?>
<Properties xmlns="http://schemas.openxmlformats.org/officeDocument/2006/extended-properties" xmlns:vt="http://schemas.openxmlformats.org/officeDocument/2006/docPropsVTypes">
  <Template>Normal</Template>
  <Pages>16</Pages>
  <Words>5503</Words>
  <Characters>5651</Characters>
  <Lines>45</Lines>
  <Paragraphs>12</Paragraphs>
  <TotalTime>45</TotalTime>
  <ScaleCrop>false</ScaleCrop>
  <LinksUpToDate>false</LinksUpToDate>
  <CharactersWithSpaces>5710</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2019-11-14T20:29:00Z</dcterms:created>
  <dc:creator>帅记南</dc:creator>
  <cp:lastModifiedBy>WPS_1551177643</cp:lastModifiedBy>
  <cp:lastPrinted>2026-10-15T09:52:00Z</cp:lastPrinted>
  <dcterms:modified xsi:type="dcterms:W3CDTF">2026-10-16T07:06:04Z</dcterms:modified>
  <cp:revision>531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C5DDAC1B353E4D95B42635F3576BF6ED_13</vt:lpwstr>
  </property>
  <property fmtid="{D5CDD505-2E9C-101B-9397-08002B2CF9AE}" pid="4" name="KSOTemplateDocerSaveRecord">
    <vt:lpwstr>eyJoZGlkIjoiMmI3YmQwN2FmZjYyOGUwOTIyOThjNWI1YTIyODFhMzgiLCJ1c2VySWQiOiIyMjU2NTg0MDcifQ==</vt:lpwstr>
  </property>
</Properties>
</file>